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34F" w:rsidRDefault="000D434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0D434F" w:rsidRDefault="00D4796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0D434F" w:rsidRDefault="000D434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D434F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0D434F" w:rsidRDefault="00D4796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0D434F" w:rsidRDefault="00D47960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王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寅</w:t>
            </w:r>
          </w:p>
        </w:tc>
        <w:tc>
          <w:tcPr>
            <w:tcW w:w="1559" w:type="dxa"/>
            <w:vAlign w:val="center"/>
          </w:tcPr>
          <w:p w:rsidR="000D434F" w:rsidRDefault="00D4796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D434F" w:rsidRDefault="00D47960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美术与设计学院党委副书记</w:t>
            </w:r>
          </w:p>
        </w:tc>
      </w:tr>
      <w:tr w:rsidR="000D434F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D434F" w:rsidRDefault="00D47960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学生工作、纪检监察、学生党支部</w:t>
            </w:r>
          </w:p>
        </w:tc>
      </w:tr>
      <w:tr w:rsidR="000D434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0D434F" w:rsidRDefault="00D4796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D434F" w:rsidRDefault="00D47960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深化“艺术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思政”融合育人，品牌影响力持续提升</w:t>
            </w:r>
          </w:p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牵头打造“以画为媒、以美育人”特色思政体系，构建红色美育、艺术宣讲、文化浸润三位一体育人载体。“以史为脉，以画为媒”历代绘画大系宣讲团入选全国大学生志愿宣讲团，相关宣讲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视频获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评团中央优秀宣讲视频，社会实践调研报告获团省委表彰；“党建引领促团结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画笔绘就民族情”党日活动获评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年度最佳党日活动二等奖；相关特色活动获省市级媒体报道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余次；分团委获评校“先进团委”、五星级团组织；“奉献杯”“创新杯”先进集体，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思政育人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与专业特色深度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融合成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效显著。</w:t>
            </w:r>
          </w:p>
        </w:tc>
      </w:tr>
      <w:tr w:rsidR="000D434F">
        <w:trPr>
          <w:trHeight w:val="2792"/>
          <w:jc w:val="center"/>
        </w:trPr>
        <w:tc>
          <w:tcPr>
            <w:tcW w:w="1935" w:type="dxa"/>
            <w:vMerge/>
            <w:vAlign w:val="center"/>
          </w:tcPr>
          <w:p w:rsidR="000D434F" w:rsidRDefault="000D43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抓实招生就业与学风建设，育人质量稳步提高</w:t>
            </w:r>
          </w:p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扎实推进学风建设月、考研指导、学业帮扶等重点工作，学院荣获新生入学教育一等奖、学风建设月活动二等奖、考研先进集体；全力开展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访企拓岗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、就业指导与精准帮扶，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2024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2025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届毕业生年终就业率均超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95%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；招生工作组织有力、成效突出，学院获评招生工作先进集体。</w:t>
            </w:r>
          </w:p>
        </w:tc>
      </w:tr>
      <w:tr w:rsidR="000D434F">
        <w:trPr>
          <w:trHeight w:val="2891"/>
          <w:jc w:val="center"/>
        </w:trPr>
        <w:tc>
          <w:tcPr>
            <w:tcW w:w="1935" w:type="dxa"/>
            <w:vMerge/>
            <w:vAlign w:val="center"/>
          </w:tcPr>
          <w:p w:rsidR="000D434F" w:rsidRDefault="000D43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强化队伍与学生骨干培育，示范引领作用凸显</w:t>
            </w:r>
          </w:p>
          <w:p w:rsidR="00017A64" w:rsidRDefault="00D47960">
            <w:pPr>
              <w:spacing w:line="380" w:lineRule="exact"/>
              <w:ind w:firstLineChars="0" w:firstLine="0"/>
              <w:jc w:val="left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学工队伍专业化能力持续增强，多人获校级表彰；学生集体建设成果丰硕，获评校“王强班”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个、校“五四红旗团支部”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个；学生榜样示范效应明显，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名学生分获江苏省优秀学生干部、江苏省优秀毕业生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人获国家奖学金、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人获盐城市“黄海明珠”奖学金、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人获校“立德树人”奖学金，优良学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8"/>
                <w:szCs w:val="28"/>
              </w:rPr>
              <w:t>风班风全面形成。</w:t>
            </w:r>
          </w:p>
          <w:p w:rsidR="000D434F" w:rsidRPr="00017A64" w:rsidRDefault="000D434F" w:rsidP="00017A64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0D434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D434F" w:rsidRDefault="00D4796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D434F" w:rsidRDefault="00D47960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“艺术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”特色育人体系化建设不够完善</w:t>
            </w:r>
          </w:p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“艺术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思政”“艺术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+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服务”等品牌活动整体规划不足，精品项目迭代升级、持续孵化与长效打造能力有待进一步加强。</w:t>
            </w:r>
          </w:p>
          <w:p w:rsidR="000D434F" w:rsidRDefault="000D434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0D434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D434F" w:rsidRDefault="000D43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新媒体思想引领创新力度不足</w:t>
            </w:r>
          </w:p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运用新媒体平台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开展思政教育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、学风引领、典型宣传的形式不够新颖，内容供给与青年学生接受习惯匹配度不高，传播覆盖面与影响力仍需拓展。</w:t>
            </w:r>
          </w:p>
          <w:p w:rsidR="000D434F" w:rsidRDefault="000D434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0D434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D434F" w:rsidRDefault="000D434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分类分层精准育人落实不够细致</w:t>
            </w:r>
          </w:p>
          <w:p w:rsidR="000D434F" w:rsidRDefault="00D47960">
            <w:pPr>
              <w:spacing w:line="380" w:lineRule="exact"/>
              <w:ind w:firstLineChars="0" w:firstLine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针对毕业生、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学困生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、特长生、心理重点关注学生等群体的个性化指导与精准服务不够到位，分类施策、精准滴灌的育人机制需进一步细化落地。</w:t>
            </w:r>
          </w:p>
          <w:p w:rsidR="000D434F" w:rsidRDefault="000D434F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0D434F">
        <w:trPr>
          <w:trHeight w:val="2384"/>
          <w:jc w:val="center"/>
        </w:trPr>
        <w:tc>
          <w:tcPr>
            <w:tcW w:w="1935" w:type="dxa"/>
            <w:vAlign w:val="center"/>
          </w:tcPr>
          <w:p w:rsidR="000D434F" w:rsidRDefault="00D47960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D434F" w:rsidRDefault="000D434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D434F" w:rsidRDefault="000D434F">
      <w:pPr>
        <w:spacing w:line="240" w:lineRule="atLeast"/>
        <w:ind w:firstLineChars="0" w:firstLine="0"/>
        <w:rPr>
          <w:sz w:val="15"/>
          <w:szCs w:val="15"/>
        </w:rPr>
      </w:pPr>
    </w:p>
    <w:sectPr w:rsidR="000D4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960" w:rsidRDefault="00D47960">
      <w:pPr>
        <w:spacing w:line="240" w:lineRule="auto"/>
        <w:ind w:firstLine="640"/>
      </w:pPr>
      <w:r>
        <w:separator/>
      </w:r>
    </w:p>
  </w:endnote>
  <w:endnote w:type="continuationSeparator" w:id="0">
    <w:p w:rsidR="00D47960" w:rsidRDefault="00D4796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34F" w:rsidRDefault="000D434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34F" w:rsidRDefault="000D434F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34F" w:rsidRDefault="000D434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960" w:rsidRDefault="00D47960">
      <w:pPr>
        <w:spacing w:line="240" w:lineRule="auto"/>
        <w:ind w:firstLine="640"/>
      </w:pPr>
      <w:r>
        <w:separator/>
      </w:r>
    </w:p>
  </w:footnote>
  <w:footnote w:type="continuationSeparator" w:id="0">
    <w:p w:rsidR="00D47960" w:rsidRDefault="00D4796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34F" w:rsidRDefault="000D434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34F" w:rsidRDefault="000D434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434F" w:rsidRDefault="000D434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F57F6147"/>
    <w:rsid w:val="00017A64"/>
    <w:rsid w:val="000951E9"/>
    <w:rsid w:val="000D434F"/>
    <w:rsid w:val="005A09ED"/>
    <w:rsid w:val="005D7BC4"/>
    <w:rsid w:val="00D47960"/>
    <w:rsid w:val="00D86298"/>
    <w:rsid w:val="381B3B34"/>
    <w:rsid w:val="39934A77"/>
    <w:rsid w:val="52E72BF2"/>
    <w:rsid w:val="57094C2D"/>
    <w:rsid w:val="5DF0210B"/>
    <w:rsid w:val="9DBF9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2026-04-20T02:59:00Z</dcterms:created>
  <dcterms:modified xsi:type="dcterms:W3CDTF">2026-04-20T02:59:00Z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55D7CCAA2B0D0AE99A70D469D9B2F87A_43</vt:lpwstr>
  </property>
  <property fmtid="{D5CDD505-2E9C-101B-9397-08002B2CF9AE}" pid="4" name="KSOTemplateDocerSaveRecord">
    <vt:lpwstr>eyJoZGlkIjoiY2RiMGEyZDI2ZjU5ZjhiZWU3ZjIzMWFmN2FmNDk1ODYiLCJ1c2VySWQiOiI0Mzg0MjQzNzAifQ==</vt:lpwstr>
  </property>
</Properties>
</file>