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293" w:rsidRDefault="00C2529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C25293" w:rsidRDefault="008B0DA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C25293" w:rsidRDefault="00C2529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2529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C25293" w:rsidRDefault="008B0DA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25293" w:rsidRDefault="008B0DA9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吴林香</w:t>
            </w:r>
          </w:p>
        </w:tc>
        <w:tc>
          <w:tcPr>
            <w:tcW w:w="1559" w:type="dxa"/>
            <w:vAlign w:val="center"/>
          </w:tcPr>
          <w:p w:rsidR="00C25293" w:rsidRDefault="008B0DA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C25293" w:rsidRDefault="008B0DA9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艺术教育中心主任</w:t>
            </w:r>
          </w:p>
        </w:tc>
      </w:tr>
      <w:tr w:rsidR="00C2529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C25293" w:rsidRDefault="008B0DA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Chars="400" w:firstLine="12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全面负责学校公共艺术教育工作</w:t>
            </w:r>
          </w:p>
        </w:tc>
      </w:tr>
      <w:tr w:rsidR="00C25293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C25293" w:rsidRDefault="008B0DA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25293" w:rsidRDefault="008B0DA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="482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一、艺术实践成果突破：省级艺术展演获奖数量与层次创历史新高</w:t>
            </w:r>
          </w:p>
          <w:p w:rsidR="00C25293" w:rsidRDefault="008B0DA9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近三年，我校艺术教育中心以大学生艺术展演为抓手，系统推进艺术实践质量提升。在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2023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年全省大学生艺术展演中，我校共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31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项作品获奖，含特等奖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项、一等奖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项、二等奖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项、三等奖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12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项，并获优秀创作奖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项，获奖总数与一等奖获奖率均实现历史性突破。同时，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名学生获评“省级优秀大学生艺术团团员”，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名教师荣获“省级优秀美育管理工作者”，推动学校在省高质量考核中跃升至同层次高校第二位。</w:t>
            </w:r>
          </w:p>
        </w:tc>
      </w:tr>
      <w:tr w:rsidR="00C2529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25293" w:rsidRDefault="00C2529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="482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二、美育课程建设创新：实现省级精品课程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与优课讲堂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“零的突破”</w:t>
            </w:r>
          </w:p>
          <w:p w:rsidR="00C25293" w:rsidRDefault="008B0DA9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围绕美育内涵深化与课程体系优化，本人牵头完成美育课程的高阶化、特色化建构。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2024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年，主持申报的《地方剧淮剧音乐欣赏》获批省级美育精品课程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；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《“东方姑娘”—中国红色民族歌剧中女性艺术形象的美学意蕴》入选省级美育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优课大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讲堂。两项成果均为学校首次在该类别项目中取得突破，标志着美育课程建设进入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提质培优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新阶段。</w:t>
            </w:r>
          </w:p>
        </w:tc>
      </w:tr>
      <w:tr w:rsidR="00C2529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25293" w:rsidRDefault="00C2529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三、艺术团架构体系化：拓展艺术团体类型并推行学分制管理</w:t>
            </w:r>
          </w:p>
          <w:p w:rsidR="00C25293" w:rsidRDefault="008B0DA9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为完善艺术育人平台，本中心在原大学生合唱团基础上，系统性增设舞蹈团、戏剧团与器乐团，形成“四位一体”的大学生艺术团架构。通过制定规范化管理制度，将艺术团日常训练、展演实践纳入学分制管理体系，强化学生持续参与机制，推动艺术团向稳定化、专业化发展，为申报与建设省级优秀大学生艺术团奠定组织基础。</w:t>
            </w:r>
          </w:p>
        </w:tc>
      </w:tr>
      <w:tr w:rsidR="00C25293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C25293" w:rsidRDefault="008B0DA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lastRenderedPageBreak/>
              <w:t>不足清单</w:t>
            </w:r>
          </w:p>
          <w:p w:rsidR="00C25293" w:rsidRDefault="008B0DA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（不满意的工作或个人不足，限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="482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一、美育跨学科融合机制有待深化</w:t>
            </w:r>
          </w:p>
          <w:p w:rsidR="00C25293" w:rsidRDefault="008B0DA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跨学科美育融合项目尚未形成常态化合作机制，理工、医学等非艺术类学科的美育渗透力较弱，课程体系在“全人教育”中的结构性作用有待进一步凸显。</w:t>
            </w:r>
          </w:p>
        </w:tc>
      </w:tr>
      <w:tr w:rsidR="00C2529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25293" w:rsidRDefault="00C25293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="482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二、高层次科研成果缺乏</w:t>
            </w:r>
          </w:p>
          <w:p w:rsidR="00C25293" w:rsidRDefault="008B0DA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个人及中心工作目前仍以教学与实践展演为主，在艺术教育理论、高校美育政策、地方文化传承等方面的学术研究成果偏少，未能有效反哺课程与教学创新。</w:t>
            </w:r>
          </w:p>
        </w:tc>
      </w:tr>
      <w:tr w:rsidR="00C2529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25293" w:rsidRDefault="00C25293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25293" w:rsidRDefault="008B0DA9">
            <w:pPr>
              <w:spacing w:line="400" w:lineRule="exact"/>
              <w:ind w:firstLine="482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三、社会服务能效有待提升</w:t>
            </w:r>
          </w:p>
          <w:p w:rsidR="00C25293" w:rsidRDefault="008B0DA9">
            <w:pPr>
              <w:spacing w:line="400" w:lineRule="exact"/>
              <w:ind w:firstLine="48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/>
                <w:sz w:val="24"/>
                <w:szCs w:val="24"/>
              </w:rPr>
              <w:t>艺术资源向社会开放、与社区及中小学联动不足，美育成果的社会辐射力与公共服务价值尚未充分发挥。</w:t>
            </w:r>
          </w:p>
        </w:tc>
      </w:tr>
      <w:tr w:rsidR="00C25293">
        <w:trPr>
          <w:trHeight w:val="2384"/>
          <w:jc w:val="center"/>
        </w:trPr>
        <w:tc>
          <w:tcPr>
            <w:tcW w:w="1935" w:type="dxa"/>
            <w:vAlign w:val="center"/>
          </w:tcPr>
          <w:p w:rsidR="00C25293" w:rsidRDefault="008B0DA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25293" w:rsidRDefault="00C25293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25293" w:rsidRDefault="00C25293">
      <w:pPr>
        <w:spacing w:line="240" w:lineRule="atLeast"/>
        <w:ind w:firstLineChars="0" w:firstLine="0"/>
        <w:rPr>
          <w:sz w:val="15"/>
          <w:szCs w:val="15"/>
        </w:rPr>
      </w:pPr>
    </w:p>
    <w:sectPr w:rsidR="00C252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DA9" w:rsidRDefault="008B0DA9">
      <w:pPr>
        <w:spacing w:line="240" w:lineRule="auto"/>
        <w:ind w:firstLine="640"/>
      </w:pPr>
      <w:r>
        <w:separator/>
      </w:r>
    </w:p>
  </w:endnote>
  <w:endnote w:type="continuationSeparator" w:id="0">
    <w:p w:rsidR="008B0DA9" w:rsidRDefault="008B0DA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293" w:rsidRDefault="00C2529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293" w:rsidRDefault="00C25293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293" w:rsidRDefault="00C2529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DA9" w:rsidRDefault="008B0DA9">
      <w:pPr>
        <w:spacing w:line="240" w:lineRule="auto"/>
        <w:ind w:firstLine="640"/>
      </w:pPr>
      <w:r>
        <w:separator/>
      </w:r>
    </w:p>
  </w:footnote>
  <w:footnote w:type="continuationSeparator" w:id="0">
    <w:p w:rsidR="008B0DA9" w:rsidRDefault="008B0DA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293" w:rsidRDefault="00C2529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293" w:rsidRDefault="00C2529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293" w:rsidRDefault="00C2529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A65CF"/>
    <w:rsid w:val="005A09ED"/>
    <w:rsid w:val="008B0DA9"/>
    <w:rsid w:val="00C25293"/>
    <w:rsid w:val="00D86298"/>
    <w:rsid w:val="02BE3A7E"/>
    <w:rsid w:val="038D3451"/>
    <w:rsid w:val="07D478A0"/>
    <w:rsid w:val="0FFF7484"/>
    <w:rsid w:val="3006229A"/>
    <w:rsid w:val="34140EA1"/>
    <w:rsid w:val="39934A77"/>
    <w:rsid w:val="39A607ED"/>
    <w:rsid w:val="3B0F23C2"/>
    <w:rsid w:val="47D97FDF"/>
    <w:rsid w:val="4C5916EF"/>
    <w:rsid w:val="52E72BF2"/>
    <w:rsid w:val="57094C2D"/>
    <w:rsid w:val="5DF0210B"/>
    <w:rsid w:val="62FC4597"/>
    <w:rsid w:val="69110F2F"/>
    <w:rsid w:val="714B51FB"/>
    <w:rsid w:val="735C549D"/>
    <w:rsid w:val="7CA41E7E"/>
    <w:rsid w:val="7F95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EBA24DDF-D536-4430-A83D-37100AC0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2026-04-20T07:24:00Z</dcterms:created>
  <dcterms:modified xsi:type="dcterms:W3CDTF">2026-04-20T07:24:00Z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eyJoZGlkIjoiOTMwMmVmMjZkYjUwOTkzMzFiZGQ3NTQyZGViYTMwZWYiLCJ1c2VySWQiOiIzNzM0MjUyOTIifQ==</vt:lpwstr>
  </property>
</Properties>
</file>