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096" w:rsidRDefault="006C409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C4096" w:rsidRDefault="00604F5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C4096" w:rsidRDefault="006C409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1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937"/>
      </w:tblGrid>
      <w:tr w:rsidR="006C409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6C4096" w:rsidRDefault="00604F5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C4096" w:rsidRDefault="00604F51">
            <w:pPr>
              <w:spacing w:line="320" w:lineRule="exact"/>
              <w:ind w:firstLine="4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>孙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>涵</w:t>
            </w:r>
          </w:p>
        </w:tc>
        <w:tc>
          <w:tcPr>
            <w:tcW w:w="1559" w:type="dxa"/>
            <w:vAlign w:val="center"/>
          </w:tcPr>
          <w:p w:rsidR="006C4096" w:rsidRDefault="00604F5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937" w:type="dxa"/>
            <w:vAlign w:val="center"/>
          </w:tcPr>
          <w:p w:rsidR="006C4096" w:rsidRDefault="00604F5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>人力资源处劳资与社会保险科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szCs w:val="24"/>
                <w:lang w:bidi="ar"/>
              </w:rPr>
              <w:t>科长</w:t>
            </w:r>
          </w:p>
        </w:tc>
      </w:tr>
      <w:tr w:rsidR="006C409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C4096" w:rsidRDefault="00604F5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spacing w:line="240" w:lineRule="auto"/>
              <w:ind w:firstLineChars="100" w:firstLine="24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负责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工资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核算、绩效分配、社保公积金管理，统筹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保障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离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退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休人员待遇</w:t>
            </w:r>
            <w:r>
              <w:rPr>
                <w:rFonts w:ascii="方正仿宋_GBK" w:hAnsi="方正仿宋_GBK" w:cs="方正仿宋_GBK" w:hint="eastAsia"/>
                <w:kern w:val="0"/>
                <w:sz w:val="24"/>
                <w:lang w:bidi="ar"/>
              </w:rPr>
              <w:t>等工作。</w:t>
            </w:r>
          </w:p>
        </w:tc>
      </w:tr>
      <w:tr w:rsidR="006C4096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C4096" w:rsidRDefault="00604F5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C4096" w:rsidRDefault="00604F5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pStyle w:val="a6"/>
              <w:widowControl/>
              <w:spacing w:line="360" w:lineRule="exact"/>
              <w:ind w:firstLine="482"/>
              <w:rPr>
                <w:rFonts w:ascii="Times New Roman" w:hAnsi="Times New Roman"/>
              </w:rPr>
            </w:pPr>
            <w:r>
              <w:rPr>
                <w:rStyle w:val="a7"/>
                <w:rFonts w:ascii="Times New Roman" w:hAnsi="Times New Roman"/>
              </w:rPr>
              <w:t>1</w:t>
            </w:r>
            <w:r>
              <w:rPr>
                <w:rStyle w:val="a7"/>
                <w:rFonts w:ascii="Times New Roman" w:hAnsi="Times New Roman"/>
              </w:rPr>
              <w:t>.</w:t>
            </w:r>
            <w:r>
              <w:rPr>
                <w:rStyle w:val="a7"/>
                <w:rFonts w:ascii="Times New Roman" w:hAnsi="Times New Roman"/>
              </w:rPr>
              <w:t>精</w:t>
            </w:r>
            <w:r>
              <w:rPr>
                <w:rStyle w:val="a7"/>
                <w:rFonts w:ascii="方正仿宋_GBK" w:hAnsi="方正仿宋_GBK" w:cs="方正仿宋_GBK" w:hint="eastAsia"/>
              </w:rPr>
              <w:t>准核算薪酬绩效</w:t>
            </w:r>
            <w:r>
              <w:rPr>
                <w:rStyle w:val="a7"/>
                <w:rFonts w:ascii="方正仿宋_GBK" w:hAnsi="方正仿宋_GBK" w:cs="方正仿宋_GBK" w:hint="eastAsia"/>
              </w:rPr>
              <w:t>保障</w:t>
            </w:r>
            <w:r>
              <w:rPr>
                <w:rStyle w:val="a7"/>
                <w:rFonts w:ascii="方正仿宋_GBK" w:hAnsi="方正仿宋_GBK" w:cs="方正仿宋_GBK" w:hint="eastAsia"/>
              </w:rPr>
              <w:t>待遇兑现</w:t>
            </w:r>
            <w:r>
              <w:rPr>
                <w:rStyle w:val="a7"/>
                <w:rFonts w:ascii="方正仿宋_GBK" w:hAnsi="方正仿宋_GBK" w:cs="方正仿宋_GBK" w:hint="eastAsia"/>
              </w:rPr>
              <w:t>。</w:t>
            </w:r>
            <w:r>
              <w:rPr>
                <w:rFonts w:ascii="方正仿宋_GBK" w:hAnsi="方正仿宋_GBK" w:cs="方正仿宋_GBK" w:hint="eastAsia"/>
              </w:rPr>
              <w:t>围绕核算精准、分配规范目标，</w:t>
            </w:r>
            <w:r>
              <w:t>扎实</w:t>
            </w:r>
            <w:r>
              <w:rPr>
                <w:rFonts w:hint="eastAsia"/>
              </w:rPr>
              <w:t>推进</w:t>
            </w:r>
            <w:r>
              <w:rPr>
                <w:rFonts w:ascii="方正仿宋_GBK" w:hAnsi="方正仿宋_GBK" w:cs="方正仿宋_GBK" w:hint="eastAsia"/>
              </w:rPr>
              <w:t>工资管理各项核心职能。一是强化薪酬核算精度。做好</w:t>
            </w:r>
            <w:r>
              <w:rPr>
                <w:rFonts w:ascii="方正仿宋_GBK" w:hAnsi="方正仿宋_GBK" w:cs="方正仿宋_GBK" w:hint="eastAsia"/>
              </w:rPr>
              <w:t>日常</w:t>
            </w:r>
            <w:r>
              <w:rPr>
                <w:rFonts w:ascii="方正仿宋_GBK" w:hAnsi="方正仿宋_GBK" w:cs="方正仿宋_GBK" w:hint="eastAsia"/>
              </w:rPr>
              <w:t>工资核算及</w:t>
            </w:r>
            <w:r>
              <w:rPr>
                <w:rFonts w:ascii="方正仿宋_GBK" w:hAnsi="方正仿宋_GBK" w:cs="方正仿宋_GBK" w:hint="eastAsia"/>
              </w:rPr>
              <w:t>动态调整</w:t>
            </w:r>
            <w:r>
              <w:rPr>
                <w:rFonts w:ascii="方正仿宋_GBK" w:hAnsi="方正仿宋_GBK" w:cs="方正仿宋_GBK" w:hint="eastAsia"/>
              </w:rPr>
              <w:t>，实现发放“零差错”。二是规范绩效工资申报。高质量完成绩效工资总量申报及省管干部工资调整申报，严格执行政策规定，</w:t>
            </w:r>
            <w:r>
              <w:t>确保数据真实、程序合规、材料规范</w:t>
            </w:r>
            <w:r>
              <w:rPr>
                <w:rFonts w:ascii="方正仿宋_GBK" w:hAnsi="方正仿宋_GBK" w:cs="方正仿宋_GBK" w:hint="eastAsia"/>
              </w:rPr>
              <w:t>。三是统筹保障</w:t>
            </w:r>
            <w:r>
              <w:rPr>
                <w:rFonts w:ascii="方正仿宋_GBK" w:hAnsi="方正仿宋_GBK" w:cs="方正仿宋_GBK" w:hint="eastAsia"/>
              </w:rPr>
              <w:t>离退休人员</w:t>
            </w:r>
            <w:r>
              <w:rPr>
                <w:rFonts w:ascii="方正仿宋_GBK" w:hAnsi="方正仿宋_GBK" w:cs="方正仿宋_GBK" w:hint="eastAsia"/>
              </w:rPr>
              <w:t>待遇。</w:t>
            </w:r>
            <w:r>
              <w:t>落实</w:t>
            </w:r>
            <w:r>
              <w:rPr>
                <w:rFonts w:ascii="方正仿宋_GBK" w:hAnsi="方正仿宋_GBK" w:cs="方正仿宋_GBK" w:hint="eastAsia"/>
              </w:rPr>
              <w:t>离休人员离休费调整</w:t>
            </w:r>
            <w:r>
              <w:rPr>
                <w:rFonts w:ascii="方正仿宋_GBK" w:hAnsi="方正仿宋_GBK" w:cs="方正仿宋_GBK" w:hint="eastAsia"/>
              </w:rPr>
              <w:t>政策</w:t>
            </w:r>
            <w:r>
              <w:rPr>
                <w:rFonts w:ascii="方正仿宋_GBK" w:hAnsi="方正仿宋_GBK" w:cs="方正仿宋_GBK" w:hint="eastAsia"/>
              </w:rPr>
              <w:t>，</w:t>
            </w:r>
            <w:r>
              <w:t>严格履行退休人员档案审核程序，规范办理退休待遇申领及一次性退休补贴核算发放，确保各项待遇按时足额兑现。</w:t>
            </w:r>
          </w:p>
        </w:tc>
      </w:tr>
      <w:tr w:rsidR="006C409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C4096" w:rsidRDefault="006C409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pStyle w:val="a6"/>
              <w:widowControl/>
              <w:spacing w:line="360" w:lineRule="exact"/>
              <w:ind w:firstLine="482"/>
              <w:rPr>
                <w:rFonts w:ascii="Times New Roman" w:hAnsi="Times New Roman"/>
                <w:spacing w:val="-20"/>
              </w:rPr>
            </w:pPr>
            <w:r>
              <w:rPr>
                <w:rStyle w:val="a7"/>
                <w:rFonts w:ascii="Times New Roman" w:hAnsi="Times New Roman"/>
                <w:lang w:bidi="ar"/>
              </w:rPr>
              <w:t>2.</w:t>
            </w:r>
            <w:r>
              <w:rPr>
                <w:rStyle w:val="a7"/>
                <w:rFonts w:ascii="方正仿宋_GBK" w:hAnsi="方正仿宋_GBK" w:cs="方正仿宋_GBK" w:hint="eastAsia"/>
                <w:lang w:bidi="ar"/>
              </w:rPr>
              <w:t>健全社保公积金管理机制夯实合规基础。</w:t>
            </w:r>
            <w:r>
              <w:rPr>
                <w:rStyle w:val="a7"/>
                <w:rFonts w:ascii="方正仿宋_GBK" w:hAnsi="方正仿宋_GBK" w:cs="方正仿宋_GBK" w:hint="eastAsia"/>
                <w:b w:val="0"/>
                <w:bCs/>
                <w:lang w:bidi="ar"/>
              </w:rPr>
              <w:t>一是高效维护社保账户运行。做好学校社会保险账户日常维护，按时办理业务申报、费用缴纳及基数调整，保障缴费记录准确无误。二是规范企业人员及编外用工管理。及时完成企业人员工资调整、公积金与社会保险基数核定；统筹做好编外用工管理，健全用工程序，防控法律风险。三是强化人员经费预算管控。认真完成各类工资和社保统计报表填报，高质量编制人员经费预算，加强预算执行动态监控，确保人力资源成本可控合规。</w:t>
            </w:r>
          </w:p>
        </w:tc>
      </w:tr>
      <w:tr w:rsidR="006C409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C4096" w:rsidRDefault="006C409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pStyle w:val="a"/>
              <w:numPr>
                <w:ilvl w:val="0"/>
                <w:numId w:val="0"/>
              </w:numPr>
              <w:spacing w:line="360" w:lineRule="exact"/>
              <w:ind w:firstLineChars="200" w:firstLine="482"/>
              <w:rPr>
                <w:rStyle w:val="a7"/>
                <w:rFonts w:ascii="方正仿宋_GBK" w:hAnsi="方正仿宋_GBK" w:cs="方正仿宋_GBK" w:hint="eastAsia"/>
                <w:b w:val="0"/>
                <w:bCs/>
                <w:kern w:val="0"/>
                <w:sz w:val="24"/>
                <w:lang w:bidi="ar"/>
              </w:rPr>
            </w:pPr>
            <w:r>
              <w:rPr>
                <w:rStyle w:val="a7"/>
                <w:rFonts w:ascii="Times New Roman" w:hAnsi="Times New Roman"/>
                <w:kern w:val="0"/>
                <w:sz w:val="24"/>
                <w:lang w:bidi="ar"/>
              </w:rPr>
              <w:t>3.</w:t>
            </w:r>
            <w:r>
              <w:rPr>
                <w:rStyle w:val="a7"/>
                <w:rFonts w:ascii="方正仿宋_GBK" w:hAnsi="方正仿宋_GBK" w:cs="方正仿宋_GBK"/>
                <w:kern w:val="0"/>
                <w:sz w:val="24"/>
                <w:lang w:bidi="ar"/>
              </w:rPr>
              <w:t>严格</w:t>
            </w:r>
            <w:r>
              <w:rPr>
                <w:rStyle w:val="a7"/>
                <w:rFonts w:ascii="方正仿宋_GBK" w:hAnsi="方正仿宋_GBK" w:cs="方正仿宋_GBK" w:hint="eastAsia"/>
                <w:kern w:val="0"/>
                <w:sz w:val="24"/>
                <w:lang w:bidi="ar"/>
              </w:rPr>
              <w:t>落实考勤管理与职工服务保障提升质效。</w:t>
            </w:r>
            <w:r>
              <w:rPr>
                <w:rStyle w:val="a7"/>
                <w:rFonts w:ascii="方正仿宋_GBK" w:hAnsi="方正仿宋_GBK" w:cs="方正仿宋_GBK" w:hint="eastAsia"/>
                <w:b w:val="0"/>
                <w:bCs/>
                <w:kern w:val="0"/>
                <w:sz w:val="24"/>
                <w:lang w:bidi="ar"/>
              </w:rPr>
              <w:t>以制度落实和服务提升为抓手，持续优化考勤管理与职工服务体系。一是严格执行考勤制度。负责教职工日常考勤管理，落实请销假制度，强化执行监督。二是规范特殊事项审核发放。认真审核教职工探亲费，依规处理去世人员丧葬费、抚恤金及遗属生活困难补助的政策审核与发放，做到政策执行精准、人文关怀到位。三是提升综合服务能力。高效办理在职证明、收入证明等各类材料出具，加强工资福利政策宣传解读与咨询服务，做到件件有回应、事事有着落。</w:t>
            </w:r>
          </w:p>
          <w:p w:rsidR="00D92D03" w:rsidRPr="00D92D03" w:rsidRDefault="00D92D03" w:rsidP="00D92D03">
            <w:pPr>
              <w:ind w:firstLine="640"/>
            </w:pPr>
          </w:p>
        </w:tc>
      </w:tr>
      <w:tr w:rsidR="006C409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C4096" w:rsidRDefault="00604F5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C4096" w:rsidRDefault="00604F5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pStyle w:val="a6"/>
              <w:widowControl/>
              <w:spacing w:line="360" w:lineRule="exact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Style w:val="a7"/>
                <w:rFonts w:ascii="Times New Roman" w:hAnsi="Times New Roman"/>
                <w:lang w:bidi="ar"/>
              </w:rPr>
              <w:t>1.</w:t>
            </w:r>
            <w:r>
              <w:rPr>
                <w:rStyle w:val="a7"/>
                <w:rFonts w:ascii="方正仿宋_GBK" w:hAnsi="方正仿宋_GBK" w:cs="方正仿宋_GBK" w:hint="eastAsia"/>
                <w:lang w:bidi="ar"/>
              </w:rPr>
              <w:t>理论学习仍存在学用脱节的问题。</w:t>
            </w:r>
            <w:r>
              <w:rPr>
                <w:rStyle w:val="a7"/>
                <w:rFonts w:ascii="方正仿宋_GBK" w:hAnsi="方正仿宋_GBK" w:cs="方正仿宋_GBK" w:hint="eastAsia"/>
                <w:b w:val="0"/>
                <w:bCs/>
                <w:lang w:bidi="ar"/>
              </w:rPr>
              <w:t>理论学习与实际工作的融合深度不足。一是政策研学不够深入。对工资福利相关政策法规的学习，存在“读文件多、钻研少”的现象，满足于掌握条文表面，系统性理解与深层次把握不足。二是学用转化能力较弱。面对工资制度改革、绩效分配优化等实践问题，运用政策理论分析解决问题的能力有所欠缺，理论指导实践的效果仍需进一步增强。</w:t>
            </w:r>
          </w:p>
        </w:tc>
      </w:tr>
      <w:tr w:rsidR="006C409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C4096" w:rsidRDefault="006C409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spacing w:line="360" w:lineRule="exact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Style w:val="a7"/>
                <w:rFonts w:ascii="Times New Roman" w:hAnsi="Times New Roman"/>
                <w:kern w:val="0"/>
                <w:sz w:val="24"/>
                <w:lang w:bidi="ar"/>
              </w:rPr>
              <w:t>2.</w:t>
            </w:r>
            <w:r>
              <w:rPr>
                <w:rStyle w:val="a7"/>
                <w:rFonts w:ascii="Times New Roman" w:hAnsi="Times New Roman"/>
                <w:kern w:val="0"/>
                <w:sz w:val="24"/>
                <w:lang w:bidi="ar"/>
              </w:rPr>
              <w:t>工</w:t>
            </w:r>
            <w:r>
              <w:rPr>
                <w:rStyle w:val="a7"/>
                <w:rFonts w:ascii="方正仿宋_GBK" w:hAnsi="方正仿宋_GBK" w:cs="方正仿宋_GBK" w:hint="eastAsia"/>
                <w:kern w:val="0"/>
                <w:sz w:val="24"/>
                <w:lang w:bidi="ar"/>
              </w:rPr>
              <w:t>资管理系统化智能化建设仍需推进。</w:t>
            </w:r>
            <w:r>
              <w:rPr>
                <w:rStyle w:val="a7"/>
                <w:rFonts w:ascii="方正仿宋_GBK" w:hAnsi="方正仿宋_GBK" w:cs="方正仿宋_GBK" w:hint="eastAsia"/>
                <w:b w:val="0"/>
                <w:bCs/>
                <w:kern w:val="0"/>
                <w:sz w:val="24"/>
                <w:lang w:bidi="ar"/>
              </w:rPr>
              <w:t>工资管理信息化水平与精细化管理要求之间仍存在差距。一是工资管理的自动化核算、批量处理等功能运用不足，部分业务仍依赖手工操作，整体工作效率有待提升。二是智能化建设推进缓慢。在工资变动预警、社保缴费智能核对、绩效核算流程优化等方面主动谋划不足，系统化、智能化管理能力与实际工作需求仍有较大提升空间。</w:t>
            </w:r>
          </w:p>
        </w:tc>
      </w:tr>
      <w:tr w:rsidR="006C409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C4096" w:rsidRDefault="006C409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197" w:type="dxa"/>
            <w:gridSpan w:val="3"/>
            <w:vAlign w:val="center"/>
          </w:tcPr>
          <w:p w:rsidR="006C4096" w:rsidRDefault="00604F51">
            <w:pPr>
              <w:pStyle w:val="a6"/>
              <w:widowControl/>
              <w:spacing w:beforeAutospacing="0" w:afterAutospacing="0" w:line="360" w:lineRule="exact"/>
              <w:ind w:firstLine="482"/>
              <w:rPr>
                <w:rFonts w:ascii="Times New Roman" w:eastAsia="宋体" w:hAnsi="Times New Roman"/>
                <w:szCs w:val="21"/>
              </w:rPr>
            </w:pPr>
            <w:r>
              <w:rPr>
                <w:rStyle w:val="a7"/>
                <w:rFonts w:ascii="Times New Roman" w:hAnsi="Times New Roman"/>
                <w:lang w:bidi="ar"/>
              </w:rPr>
              <w:t>3.</w:t>
            </w:r>
            <w:r>
              <w:rPr>
                <w:rStyle w:val="a7"/>
                <w:rFonts w:ascii="Times New Roman" w:hAnsi="Times New Roman"/>
                <w:lang w:bidi="ar"/>
              </w:rPr>
              <w:t>人</w:t>
            </w:r>
            <w:r>
              <w:rPr>
                <w:rStyle w:val="a7"/>
                <w:rFonts w:ascii="方正仿宋_GBK" w:hAnsi="方正仿宋_GBK" w:cs="方正仿宋_GBK" w:hint="eastAsia"/>
                <w:lang w:bidi="ar"/>
              </w:rPr>
              <w:t>员经费数据挖掘分析与决策支撑作用发挥不足。</w:t>
            </w:r>
            <w:r>
              <w:rPr>
                <w:rStyle w:val="a7"/>
                <w:rFonts w:ascii="方正仿宋_GBK" w:hAnsi="方正仿宋_GBK" w:cs="方正仿宋_GBK" w:hint="eastAsia"/>
                <w:b w:val="0"/>
                <w:bCs/>
                <w:lang w:bidi="ar"/>
              </w:rPr>
              <w:t>数据资源的深度利用与服务决策能力仍需加强。一是数据分析运用能力较弱。日常积累的人员经费数据在系统梳理、趋势研判和规律提炼方面用力不足，数据潜在价值未能有效释放。二是主动服务决策意识不强。向学校、提供人员经费结构分析、预算执行预警等数据支撑的主动性不足，服务学校人力资源科学决策的能力有待进一步提升。</w:t>
            </w:r>
          </w:p>
        </w:tc>
      </w:tr>
      <w:tr w:rsidR="006C4096">
        <w:trPr>
          <w:trHeight w:val="2384"/>
          <w:jc w:val="center"/>
        </w:trPr>
        <w:tc>
          <w:tcPr>
            <w:tcW w:w="1935" w:type="dxa"/>
            <w:vAlign w:val="center"/>
          </w:tcPr>
          <w:p w:rsidR="006C4096" w:rsidRDefault="00604F5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197" w:type="dxa"/>
            <w:gridSpan w:val="3"/>
            <w:vAlign w:val="center"/>
          </w:tcPr>
          <w:p w:rsidR="006C4096" w:rsidRDefault="006C409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C4096" w:rsidRDefault="006C4096">
      <w:pPr>
        <w:spacing w:line="240" w:lineRule="atLeast"/>
        <w:ind w:firstLineChars="0" w:firstLine="0"/>
        <w:rPr>
          <w:sz w:val="15"/>
          <w:szCs w:val="15"/>
        </w:rPr>
      </w:pPr>
    </w:p>
    <w:sectPr w:rsidR="006C40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096" w:rsidRDefault="00604F51">
      <w:pPr>
        <w:spacing w:line="240" w:lineRule="auto"/>
        <w:ind w:firstLine="640"/>
      </w:pPr>
      <w:r>
        <w:separator/>
      </w:r>
    </w:p>
  </w:endnote>
  <w:endnote w:type="continuationSeparator" w:id="0">
    <w:p w:rsidR="006C4096" w:rsidRDefault="00604F5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002B1960-5929-4E94-B2A3-1F7241721321}"/>
    <w:embedBold r:id="rId2" w:subsetted="1" w:fontKey="{C8C23081-B090-457F-B43A-F1EE9743E0E0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F7B9CF15-904B-4D25-9E8D-57118FCAAC3F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C9F4F3D5-5092-4A5E-B403-485E11D015FA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688BC657-D088-4EA2-B6BC-EE464583C1D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096" w:rsidRDefault="00604F51">
      <w:pPr>
        <w:spacing w:line="240" w:lineRule="auto"/>
        <w:ind w:firstLine="640"/>
      </w:pPr>
      <w:r>
        <w:separator/>
      </w:r>
    </w:p>
  </w:footnote>
  <w:footnote w:type="continuationSeparator" w:id="0">
    <w:p w:rsidR="006C4096" w:rsidRDefault="00604F5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96" w:rsidRDefault="006C409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04F51"/>
    <w:rsid w:val="006C4096"/>
    <w:rsid w:val="006E3825"/>
    <w:rsid w:val="00881C24"/>
    <w:rsid w:val="00890415"/>
    <w:rsid w:val="00D86298"/>
    <w:rsid w:val="00D92D03"/>
    <w:rsid w:val="068723D9"/>
    <w:rsid w:val="129B66E8"/>
    <w:rsid w:val="14805748"/>
    <w:rsid w:val="158179B4"/>
    <w:rsid w:val="19C332D1"/>
    <w:rsid w:val="1FD71884"/>
    <w:rsid w:val="20370B5C"/>
    <w:rsid w:val="38390ED6"/>
    <w:rsid w:val="39934A77"/>
    <w:rsid w:val="41AF3FB7"/>
    <w:rsid w:val="46D00C57"/>
    <w:rsid w:val="4ABA7924"/>
    <w:rsid w:val="52E72BF2"/>
    <w:rsid w:val="536F3903"/>
    <w:rsid w:val="53DF24DA"/>
    <w:rsid w:val="55764FA4"/>
    <w:rsid w:val="57094C2D"/>
    <w:rsid w:val="5D276C9F"/>
    <w:rsid w:val="5D871341"/>
    <w:rsid w:val="5DF0210B"/>
    <w:rsid w:val="5E992621"/>
    <w:rsid w:val="5ECA3D86"/>
    <w:rsid w:val="5ED13367"/>
    <w:rsid w:val="621A276C"/>
    <w:rsid w:val="6C97174C"/>
    <w:rsid w:val="6D4A31D0"/>
    <w:rsid w:val="6D4D62AE"/>
    <w:rsid w:val="7C70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C3EDFDC"/>
  <w15:docId w15:val="{A3274A1D-6751-4B73-9574-5AF6835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eyJoZGlkIjoiMThjYjY1MWYyMjU2NDhmMDkzMDBiNTFhOGQwOTU0YzUiLCJ1c2VySWQiOiIyNTU1NzI1NDYifQ==</vt:lpwstr>
  </property>
</Properties>
</file>