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191" w:rsidRDefault="0061319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13191" w:rsidRDefault="002D5F8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13191" w:rsidRDefault="0061319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422"/>
        <w:gridCol w:w="1583"/>
        <w:gridCol w:w="4089"/>
      </w:tblGrid>
      <w:tr w:rsidR="00613191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422" w:type="dxa"/>
            <w:vAlign w:val="center"/>
          </w:tcPr>
          <w:p w:rsidR="00613191" w:rsidRDefault="002D5F8F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徐窑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窑</w:t>
            </w:r>
            <w:proofErr w:type="gramEnd"/>
          </w:p>
        </w:tc>
        <w:tc>
          <w:tcPr>
            <w:tcW w:w="1583" w:type="dxa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89" w:type="dxa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药学院学生工作办公室主任</w:t>
            </w:r>
          </w:p>
        </w:tc>
      </w:tr>
      <w:tr w:rsidR="00613191">
        <w:trPr>
          <w:trHeight w:hRule="exact" w:val="3653"/>
          <w:jc w:val="center"/>
        </w:trPr>
        <w:tc>
          <w:tcPr>
            <w:tcW w:w="1935" w:type="dxa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2023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-2024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6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月：</w:t>
            </w:r>
            <w:r>
              <w:rPr>
                <w:rFonts w:ascii="Times New Roman" w:eastAsia="楷体_GB2312" w:hAnsi="Times New Roman" w:hint="eastAsia"/>
                <w:szCs w:val="32"/>
              </w:rPr>
              <w:t>就职于学生工作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处学生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管理科，主要负责学校宿舍管理与文化建设、“一站式”学生社区建设、学生违纪处分及科室日常管理等。</w:t>
            </w:r>
          </w:p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2024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6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月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-2025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年：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学工办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日常运行与制度建设、学生思想政治教育管理与学风建设、新生入学及毕业生离校教育、心理健康教育与安全教育、资助育人、宿舍管理、学生违纪处理、学生安全稳定、各类数据信息报送等。</w:t>
            </w:r>
          </w:p>
        </w:tc>
      </w:tr>
      <w:tr w:rsidR="00613191">
        <w:trPr>
          <w:trHeight w:val="1838"/>
          <w:jc w:val="center"/>
        </w:trPr>
        <w:tc>
          <w:tcPr>
            <w:tcW w:w="1935" w:type="dxa"/>
            <w:vMerge w:val="restart"/>
            <w:vAlign w:val="center"/>
          </w:tcPr>
          <w:p w:rsidR="00613191" w:rsidRDefault="002D5F8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13191" w:rsidRDefault="002D5F8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深化宿舍管理与宿舍文化建设，推行“宿舍长</w:t>
            </w:r>
            <w:r>
              <w:rPr>
                <w:rFonts w:ascii="Times New Roman" w:eastAsia="楷体_GB2312" w:hAnsi="Times New Roman" w:hint="eastAsia"/>
                <w:szCs w:val="32"/>
              </w:rPr>
              <w:t>=</w:t>
            </w:r>
            <w:r>
              <w:rPr>
                <w:rFonts w:ascii="Times New Roman" w:eastAsia="楷体_GB2312" w:hAnsi="Times New Roman" w:hint="eastAsia"/>
                <w:szCs w:val="32"/>
              </w:rPr>
              <w:t>安全员”机制，牵头组织“一站式”学生社区寝室文化大赛，助力学院获一等奖及“先进集体”称号。</w:t>
            </w:r>
          </w:p>
        </w:tc>
      </w:tr>
      <w:tr w:rsidR="00613191">
        <w:trPr>
          <w:trHeight w:val="1788"/>
          <w:jc w:val="center"/>
        </w:trPr>
        <w:tc>
          <w:tcPr>
            <w:tcW w:w="1935" w:type="dxa"/>
            <w:vMerge/>
            <w:vAlign w:val="center"/>
          </w:tcPr>
          <w:p w:rsidR="00613191" w:rsidRDefault="006131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抓实入学教育，开展数十场针对性活动，覆盖全部新生，涵盖专业认知、生涯规划、考研赋能、朋辈帮扶等维度，发表二十余篇校级及以上新闻报道，助力学院获评“新生入学教育工作先进集体”称号。</w:t>
            </w:r>
          </w:p>
        </w:tc>
      </w:tr>
      <w:tr w:rsidR="0061319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13191" w:rsidRDefault="006131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7CE9" w:rsidRDefault="002D5F8F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强化考研</w:t>
            </w:r>
            <w:r>
              <w:rPr>
                <w:rFonts w:ascii="Times New Roman" w:eastAsia="楷体_GB2312" w:hAnsi="Times New Roman"/>
                <w:szCs w:val="32"/>
              </w:rPr>
              <w:t>分类</w:t>
            </w:r>
            <w:r>
              <w:rPr>
                <w:rFonts w:ascii="Times New Roman" w:eastAsia="楷体_GB2312" w:hAnsi="Times New Roman" w:hint="eastAsia"/>
                <w:szCs w:val="32"/>
              </w:rPr>
              <w:t>指导，</w:t>
            </w:r>
            <w:r>
              <w:rPr>
                <w:rFonts w:ascii="Times New Roman" w:eastAsia="楷体_GB2312" w:hAnsi="Times New Roman"/>
                <w:szCs w:val="32"/>
              </w:rPr>
              <w:t>所带专业</w:t>
            </w:r>
            <w:r>
              <w:rPr>
                <w:rFonts w:ascii="Times New Roman" w:eastAsia="楷体_GB2312" w:hAnsi="Times New Roman" w:hint="eastAsia"/>
                <w:szCs w:val="32"/>
              </w:rPr>
              <w:t>（生物制药）</w:t>
            </w:r>
            <w:r>
              <w:rPr>
                <w:rFonts w:ascii="Times New Roman" w:eastAsia="楷体_GB2312" w:hAnsi="Times New Roman"/>
                <w:szCs w:val="32"/>
              </w:rPr>
              <w:t>整体升学质量创下</w:t>
            </w:r>
            <w:r>
              <w:rPr>
                <w:rFonts w:ascii="Times New Roman" w:eastAsia="楷体_GB2312" w:hAnsi="Times New Roman" w:hint="eastAsia"/>
                <w:szCs w:val="32"/>
              </w:rPr>
              <w:t>学院</w:t>
            </w:r>
            <w:r>
              <w:rPr>
                <w:rFonts w:ascii="Times New Roman" w:eastAsia="楷体_GB2312" w:hAnsi="Times New Roman"/>
                <w:szCs w:val="32"/>
              </w:rPr>
              <w:t>新高。</w:t>
            </w:r>
            <w:proofErr w:type="gramStart"/>
            <w:r>
              <w:rPr>
                <w:rFonts w:ascii="Times New Roman" w:eastAsia="楷体_GB2312" w:hAnsi="Times New Roman"/>
                <w:szCs w:val="32"/>
              </w:rPr>
              <w:t>普本班</w:t>
            </w:r>
            <w:proofErr w:type="gramEnd"/>
            <w:r>
              <w:rPr>
                <w:rFonts w:ascii="Times New Roman" w:eastAsia="楷体_GB2312" w:hAnsi="Times New Roman"/>
                <w:szCs w:val="32"/>
              </w:rPr>
              <w:t>整体录取率</w:t>
            </w:r>
            <w:r>
              <w:rPr>
                <w:rFonts w:ascii="Times New Roman" w:eastAsia="楷体_GB2312" w:hAnsi="Times New Roman"/>
                <w:szCs w:val="32"/>
              </w:rPr>
              <w:t>57.41%</w:t>
            </w:r>
            <w:r>
              <w:rPr>
                <w:rFonts w:ascii="Times New Roman" w:eastAsia="楷体_GB2312" w:hAnsi="Times New Roman"/>
                <w:szCs w:val="32"/>
              </w:rPr>
              <w:t>（其中</w:t>
            </w:r>
            <w:r>
              <w:rPr>
                <w:rFonts w:ascii="Times New Roman" w:eastAsia="楷体_GB2312" w:hAnsi="Times New Roman" w:hint="eastAsia"/>
                <w:szCs w:val="32"/>
              </w:rPr>
              <w:t>，药</w:t>
            </w:r>
            <w:r>
              <w:rPr>
                <w:rFonts w:ascii="Times New Roman" w:eastAsia="楷体_GB2312" w:hAnsi="Times New Roman" w:hint="eastAsia"/>
                <w:szCs w:val="32"/>
              </w:rPr>
              <w:t>21</w:t>
            </w:r>
            <w:r>
              <w:rPr>
                <w:rFonts w:ascii="Times New Roman" w:eastAsia="楷体_GB2312" w:hAnsi="Times New Roman" w:hint="eastAsia"/>
                <w:szCs w:val="32"/>
              </w:rPr>
              <w:t>（</w:t>
            </w:r>
            <w:r>
              <w:rPr>
                <w:rFonts w:ascii="Times New Roman" w:eastAsia="楷体_GB2312" w:hAnsi="Times New Roman" w:hint="eastAsia"/>
                <w:szCs w:val="32"/>
              </w:rPr>
              <w:t>5</w:t>
            </w:r>
            <w:r>
              <w:rPr>
                <w:rFonts w:ascii="Times New Roman" w:eastAsia="楷体_GB2312" w:hAnsi="Times New Roman" w:hint="eastAsia"/>
                <w:szCs w:val="32"/>
              </w:rPr>
              <w:t>）生药</w:t>
            </w:r>
            <w:r>
              <w:rPr>
                <w:rFonts w:ascii="Times New Roman" w:eastAsia="楷体_GB2312" w:hAnsi="Times New Roman"/>
                <w:szCs w:val="32"/>
              </w:rPr>
              <w:t>班达</w:t>
            </w:r>
            <w:r>
              <w:rPr>
                <w:rFonts w:ascii="Times New Roman" w:eastAsia="楷体_GB2312" w:hAnsi="Times New Roman"/>
                <w:szCs w:val="32"/>
              </w:rPr>
              <w:t>69.23%</w:t>
            </w:r>
            <w:r>
              <w:rPr>
                <w:rFonts w:ascii="Times New Roman" w:eastAsia="楷体_GB2312" w:hAnsi="Times New Roman"/>
                <w:szCs w:val="32"/>
              </w:rPr>
              <w:t>），专</w:t>
            </w:r>
            <w:r>
              <w:rPr>
                <w:rFonts w:ascii="Times New Roman" w:eastAsia="楷体_GB2312" w:hAnsi="Times New Roman" w:hint="eastAsia"/>
                <w:szCs w:val="32"/>
              </w:rPr>
              <w:t>升</w:t>
            </w:r>
            <w:r>
              <w:rPr>
                <w:rFonts w:ascii="Times New Roman" w:eastAsia="楷体_GB2312" w:hAnsi="Times New Roman"/>
                <w:szCs w:val="32"/>
              </w:rPr>
              <w:t>本班录取率</w:t>
            </w:r>
            <w:r>
              <w:rPr>
                <w:rFonts w:ascii="Times New Roman" w:eastAsia="楷体_GB2312" w:hAnsi="Times New Roman"/>
                <w:szCs w:val="32"/>
              </w:rPr>
              <w:t>17.65%</w:t>
            </w:r>
            <w:r>
              <w:rPr>
                <w:rFonts w:ascii="Times New Roman" w:eastAsia="楷体_GB2312" w:hAnsi="Times New Roman" w:hint="eastAsia"/>
                <w:szCs w:val="32"/>
              </w:rPr>
              <w:t>，助力学院获评“考研工作先进集体”称号。</w:t>
            </w:r>
            <w:bookmarkStart w:id="0" w:name="_GoBack"/>
            <w:bookmarkEnd w:id="0"/>
          </w:p>
          <w:p w:rsidR="005B7CE9" w:rsidRDefault="005B7CE9" w:rsidP="005B7CE9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613191" w:rsidRPr="005B7CE9" w:rsidRDefault="00613191" w:rsidP="005B7CE9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61319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13191" w:rsidRDefault="002D5F8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13191" w:rsidRDefault="002D5F8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学生个性化教育与分类指导不够精细，对特殊群体学生的跟踪帮扶深度不足。</w:t>
            </w:r>
          </w:p>
        </w:tc>
      </w:tr>
      <w:tr w:rsidR="0061319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13191" w:rsidRDefault="006131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学工工作创新力度不足，品牌活动打造与特色凝练不够，影响力与示范效应不强。</w:t>
            </w:r>
          </w:p>
        </w:tc>
      </w:tr>
      <w:tr w:rsidR="0061319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13191" w:rsidRDefault="006131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13191" w:rsidRDefault="002D5F8F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理论学习与业务研究结合不紧密，学生工作调研成果与论文产出较少，专业化水平有待提升。</w:t>
            </w:r>
          </w:p>
        </w:tc>
      </w:tr>
      <w:tr w:rsidR="00613191">
        <w:trPr>
          <w:trHeight w:val="2384"/>
          <w:jc w:val="center"/>
        </w:trPr>
        <w:tc>
          <w:tcPr>
            <w:tcW w:w="1935" w:type="dxa"/>
            <w:vAlign w:val="center"/>
          </w:tcPr>
          <w:p w:rsidR="00613191" w:rsidRDefault="002D5F8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13191" w:rsidRDefault="0061319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13191" w:rsidRDefault="00613191">
      <w:pPr>
        <w:spacing w:line="240" w:lineRule="atLeast"/>
        <w:ind w:firstLineChars="0" w:firstLine="0"/>
        <w:rPr>
          <w:sz w:val="15"/>
          <w:szCs w:val="15"/>
        </w:rPr>
      </w:pPr>
    </w:p>
    <w:sectPr w:rsidR="006131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F8F" w:rsidRDefault="002D5F8F">
      <w:pPr>
        <w:spacing w:line="240" w:lineRule="auto"/>
        <w:ind w:firstLine="640"/>
      </w:pPr>
      <w:r>
        <w:separator/>
      </w:r>
    </w:p>
  </w:endnote>
  <w:endnote w:type="continuationSeparator" w:id="0">
    <w:p w:rsidR="002D5F8F" w:rsidRDefault="002D5F8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F8F" w:rsidRDefault="002D5F8F">
      <w:pPr>
        <w:spacing w:line="240" w:lineRule="auto"/>
        <w:ind w:firstLine="640"/>
      </w:pPr>
      <w:r>
        <w:separator/>
      </w:r>
    </w:p>
  </w:footnote>
  <w:footnote w:type="continuationSeparator" w:id="0">
    <w:p w:rsidR="002D5F8F" w:rsidRDefault="002D5F8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191" w:rsidRDefault="0061319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D5F8F"/>
    <w:rsid w:val="005A09ED"/>
    <w:rsid w:val="005B7CE9"/>
    <w:rsid w:val="00613191"/>
    <w:rsid w:val="006E3825"/>
    <w:rsid w:val="00881C24"/>
    <w:rsid w:val="00D86298"/>
    <w:rsid w:val="39934A77"/>
    <w:rsid w:val="3E5E5039"/>
    <w:rsid w:val="3F435F63"/>
    <w:rsid w:val="407F0182"/>
    <w:rsid w:val="52E72BF2"/>
    <w:rsid w:val="57094C2D"/>
    <w:rsid w:val="5DF0210B"/>
    <w:rsid w:val="650023C2"/>
    <w:rsid w:val="723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F7E693-23C7-437B-919D-113EC58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2026-04-20T07:15:00Z</dcterms:created>
  <dcterms:modified xsi:type="dcterms:W3CDTF">2026-04-20T07:15:00Z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8D6B991CD5994DAD9D6CF2FD84AE7758_13</vt:lpwstr>
  </property>
  <property fmtid="{D5CDD505-2E9C-101B-9397-08002B2CF9AE}" pid="4" name="KSOTemplateDocerSaveRecord">
    <vt:lpwstr>eyJoZGlkIjoiZDY0NzE0NDM0MzZjN2JiODcyZjQyNWE5NGQ3ODk5YjAiLCJ1c2VySWQiOiIyNzkyOTg0In0=</vt:lpwstr>
  </property>
</Properties>
</file>