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ascii="方正小标宋简体" w:eastAsia="方正小标宋简体"/>
          <w:sz w:val="36"/>
        </w:rPr>
      </w:pPr>
      <w:r>
        <w:rPr>
          <w:rFonts w:hint="eastAsia" w:ascii="方正小标宋简体" w:eastAsia="方正小标宋简体"/>
          <w:sz w:val="36"/>
        </w:rPr>
        <w:t>任期工作总结</w:t>
      </w:r>
    </w:p>
    <w:p>
      <w:pPr>
        <w:adjustRightInd w:val="0"/>
        <w:snapToGrid w:val="0"/>
        <w:spacing w:line="560" w:lineRule="exact"/>
        <w:jc w:val="center"/>
        <w:rPr>
          <w:rFonts w:ascii="楷体_GB2312" w:eastAsia="楷体_GB2312"/>
          <w:sz w:val="32"/>
        </w:rPr>
      </w:pPr>
      <w:r>
        <w:rPr>
          <w:rFonts w:hint="eastAsia" w:ascii="楷体_GB2312" w:eastAsia="楷体_GB2312"/>
          <w:sz w:val="32"/>
        </w:rPr>
        <w:t>党委组织部、党委统战部 于建江</w:t>
      </w:r>
    </w:p>
    <w:p>
      <w:pPr>
        <w:adjustRightInd w:val="0"/>
        <w:snapToGrid w:val="0"/>
        <w:spacing w:line="560" w:lineRule="exact"/>
        <w:rPr>
          <w:rFonts w:ascii="仿宋_GB2312" w:eastAsia="仿宋_GB2312"/>
          <w:sz w:val="32"/>
        </w:rPr>
      </w:pPr>
    </w:p>
    <w:p>
      <w:pPr>
        <w:adjustRightInd w:val="0"/>
        <w:snapToGrid w:val="0"/>
        <w:spacing w:line="560" w:lineRule="exact"/>
        <w:ind w:firstLine="640"/>
        <w:rPr>
          <w:rFonts w:ascii="仿宋_GB2312" w:eastAsia="仿宋_GB2312"/>
          <w:sz w:val="32"/>
        </w:rPr>
      </w:pPr>
      <w:r>
        <w:rPr>
          <w:rFonts w:hint="eastAsia" w:ascii="仿宋_GB2312" w:eastAsia="仿宋_GB2312"/>
          <w:sz w:val="32"/>
        </w:rPr>
        <w:t>本人自2016年12月起挂职任宿豫区区委常委、副区长，</w:t>
      </w:r>
      <w:r>
        <w:rPr>
          <w:rFonts w:hint="eastAsia" w:ascii="仿宋_GB2312" w:eastAsia="仿宋_GB2312"/>
          <w:sz w:val="32"/>
          <w:lang w:val="en-US" w:eastAsia="zh-CN"/>
        </w:rPr>
        <w:t>2017年任信息工程学院党总支副书记、副院长，</w:t>
      </w:r>
      <w:r>
        <w:rPr>
          <w:rFonts w:hint="eastAsia" w:ascii="仿宋_GB2312" w:eastAsia="仿宋_GB2312"/>
          <w:sz w:val="32"/>
        </w:rPr>
        <w:t>2</w:t>
      </w:r>
      <w:r>
        <w:rPr>
          <w:rFonts w:ascii="仿宋_GB2312" w:eastAsia="仿宋_GB2312"/>
          <w:sz w:val="32"/>
        </w:rPr>
        <w:t>018年底挂职结束后担任校党委组织部部长</w:t>
      </w:r>
      <w:r>
        <w:rPr>
          <w:rFonts w:hint="eastAsia" w:ascii="仿宋_GB2312" w:eastAsia="仿宋_GB2312"/>
          <w:sz w:val="32"/>
        </w:rPr>
        <w:t>、统战部部长。现将任期履职情况总结如下。</w:t>
      </w:r>
    </w:p>
    <w:p>
      <w:pPr>
        <w:adjustRightInd w:val="0"/>
        <w:snapToGrid w:val="0"/>
        <w:spacing w:line="560" w:lineRule="exact"/>
        <w:ind w:firstLine="640"/>
        <w:rPr>
          <w:rFonts w:ascii="黑体" w:hAnsi="黑体" w:eastAsia="黑体"/>
          <w:sz w:val="32"/>
        </w:rPr>
      </w:pPr>
      <w:r>
        <w:rPr>
          <w:rFonts w:ascii="黑体" w:hAnsi="黑体" w:eastAsia="黑体"/>
          <w:sz w:val="32"/>
        </w:rPr>
        <w:t>一</w:t>
      </w:r>
      <w:r>
        <w:rPr>
          <w:rFonts w:hint="eastAsia" w:ascii="黑体" w:hAnsi="黑体" w:eastAsia="黑体"/>
          <w:sz w:val="32"/>
        </w:rPr>
        <w:t>、加强理论学习，提升政治理论素养</w:t>
      </w:r>
    </w:p>
    <w:p>
      <w:pPr>
        <w:adjustRightInd w:val="0"/>
        <w:snapToGrid w:val="0"/>
        <w:spacing w:line="560" w:lineRule="exact"/>
        <w:ind w:firstLine="640"/>
        <w:rPr>
          <w:rFonts w:ascii="仿宋_GB2312" w:eastAsia="仿宋_GB2312"/>
          <w:sz w:val="32"/>
        </w:rPr>
      </w:pPr>
      <w:r>
        <w:rPr>
          <w:rFonts w:hint="eastAsia" w:ascii="仿宋_GB2312" w:eastAsia="仿宋_GB2312"/>
          <w:sz w:val="32"/>
        </w:rPr>
        <w:t>本人一直坚持把学习放在首位，深入学习领悟习近平新时代中国特色社会主义思想，学好用实“学习强国”平台。参加宿迁市市管干部“学习贯彻党的十九大精神”培养班、市区“旗帜鲜明讲政治”专题研讨会、宿迁市委党校第29期县处级干部进修班等培训，并根据所学、所想、所悟，按照区委统一要求，到挂钩单位开展宣讲活动。积极参加学校理论中心组集体学习，并进行专题领学，按要求讲好党课、做好交流发言。参加了学校中层以上干部井冈山、延安党性教育培训班、党总支（党委）书记西柏坡党性教育培训班学习。本人在政治上、思想上、行动上能自觉做到与习近平总书记为核心的党中央保持高度一致，牢固树立“四个意识”、坚定“四个自信”、坚决做到“两个维护”。</w:t>
      </w:r>
    </w:p>
    <w:p>
      <w:pPr>
        <w:adjustRightInd w:val="0"/>
        <w:snapToGrid w:val="0"/>
        <w:spacing w:line="560" w:lineRule="exact"/>
        <w:ind w:firstLine="640"/>
        <w:rPr>
          <w:rFonts w:ascii="黑体" w:hAnsi="黑体" w:eastAsia="黑体"/>
          <w:sz w:val="32"/>
        </w:rPr>
      </w:pPr>
      <w:r>
        <w:rPr>
          <w:rFonts w:ascii="黑体" w:hAnsi="黑体" w:eastAsia="黑体"/>
          <w:sz w:val="32"/>
        </w:rPr>
        <w:t>二</w:t>
      </w:r>
      <w:r>
        <w:rPr>
          <w:rFonts w:hint="eastAsia" w:ascii="黑体" w:hAnsi="黑体" w:eastAsia="黑体"/>
          <w:sz w:val="32"/>
        </w:rPr>
        <w:t>、强化责任担当，提升管理服务能力</w:t>
      </w:r>
    </w:p>
    <w:p>
      <w:pPr>
        <w:adjustRightInd w:val="0"/>
        <w:snapToGrid w:val="0"/>
        <w:spacing w:line="560" w:lineRule="exact"/>
        <w:ind w:firstLine="640"/>
        <w:rPr>
          <w:rFonts w:ascii="仿宋_GB2312" w:eastAsia="仿宋_GB2312"/>
          <w:sz w:val="32"/>
        </w:rPr>
      </w:pPr>
      <w:r>
        <w:rPr>
          <w:rFonts w:hint="eastAsia" w:ascii="仿宋_GB2312" w:eastAsia="仿宋_GB2312"/>
          <w:sz w:val="32"/>
        </w:rPr>
        <w:t>挂职期间，本人主要负责电子商务产业发展、信息化建设、互联网经济工作，能做到迅速熟悉环境，切实转变角色定位，在思想上融入宿豫，在工作上扎根宿豫，在思想政治素质、工作能力等方面都有了不同程度的提高。</w:t>
      </w:r>
    </w:p>
    <w:p>
      <w:pPr>
        <w:adjustRightInd w:val="0"/>
        <w:snapToGrid w:val="0"/>
        <w:spacing w:line="560" w:lineRule="exact"/>
        <w:ind w:firstLine="640"/>
        <w:rPr>
          <w:rFonts w:ascii="仿宋_GB2312" w:eastAsia="仿宋_GB2312"/>
          <w:sz w:val="32"/>
        </w:rPr>
      </w:pPr>
      <w:r>
        <w:rPr>
          <w:rFonts w:hint="eastAsia" w:ascii="楷体_GB2312" w:eastAsia="楷体_GB2312"/>
          <w:sz w:val="32"/>
        </w:rPr>
        <w:t>一是积极推动电商产业发展。</w:t>
      </w:r>
      <w:r>
        <w:rPr>
          <w:rFonts w:hint="eastAsia" w:ascii="仿宋_GB2312" w:eastAsia="仿宋_GB2312"/>
          <w:sz w:val="32"/>
        </w:rPr>
        <w:t>从发展规划、产业升级、特色打造等方面为宿迁电子商务产业园的高质量发展提供了意见建议，园区电商交易额、财政总收入、一般公共预算收入均稳步提升。</w:t>
      </w:r>
      <w:r>
        <w:rPr>
          <w:rFonts w:hint="eastAsia" w:ascii="楷体_GB2312" w:eastAsia="楷体_GB2312"/>
          <w:sz w:val="32"/>
        </w:rPr>
        <w:t>二是稳步推进电商项目建设。</w:t>
      </w:r>
      <w:r>
        <w:rPr>
          <w:rFonts w:hint="eastAsia" w:ascii="仿宋_GB2312" w:eastAsia="仿宋_GB2312"/>
          <w:sz w:val="32"/>
        </w:rPr>
        <w:t>2017年，京东全国客服中心二期等一批重大项目投入使用，筑梦小镇、智慧云谷等快速推进。2018年挂钩电商园区重点项目13个，总建筑面积约150万平方米，总投资达80亿元人民币，园区载体建设日益完善。</w:t>
      </w:r>
      <w:r>
        <w:rPr>
          <w:rFonts w:hint="eastAsia" w:ascii="楷体_GB2312" w:eastAsia="楷体_GB2312"/>
          <w:sz w:val="32"/>
        </w:rPr>
        <w:t>三是创新搭建产业发展平台。</w:t>
      </w:r>
      <w:r>
        <w:rPr>
          <w:rFonts w:hint="eastAsia" w:ascii="仿宋_GB2312" w:eastAsia="仿宋_GB2312"/>
          <w:sz w:val="32"/>
        </w:rPr>
        <w:t>先后邀请南京大学软件学院、东南大学自动化学院等到宿豫区考察交流，部分专家正筹备在园区成立科技型公司。2017年至挂职结束，创成全国优秀物流园区、省首批特色小镇等省级以上品牌19个，园区的综合经济实力、知名度和美誉度均显著提升。</w:t>
      </w:r>
      <w:r>
        <w:rPr>
          <w:rFonts w:hint="eastAsia" w:ascii="楷体_GB2312" w:eastAsia="楷体_GB2312"/>
          <w:sz w:val="32"/>
        </w:rPr>
        <w:t>四是着力开展招商引资工作。</w:t>
      </w:r>
      <w:r>
        <w:rPr>
          <w:rFonts w:hint="eastAsia" w:ascii="仿宋_GB2312" w:eastAsia="仿宋_GB2312"/>
          <w:sz w:val="32"/>
        </w:rPr>
        <w:t>拓展项目招商线索，进一步推进与相关公司前期对接工作，带队到多地常态化开展招商活动，与多家公司达成合作意向。2017年，园区引进落户企业99家。2018年1—10月份，园区共引进电商企业125家。</w:t>
      </w:r>
      <w:r>
        <w:rPr>
          <w:rFonts w:hint="eastAsia" w:ascii="楷体_GB2312" w:eastAsia="楷体_GB2312"/>
          <w:sz w:val="32"/>
        </w:rPr>
        <w:t>五是加快推动产教融合进程。</w:t>
      </w:r>
      <w:r>
        <w:rPr>
          <w:rFonts w:hint="eastAsia" w:ascii="仿宋_GB2312" w:eastAsia="仿宋_GB2312"/>
          <w:sz w:val="32"/>
        </w:rPr>
        <w:t>常态化调研园区落户企业需求，带领企业到周边高校开展人才招聘工作，加快推进企业与院校产教融合进程；强化与中科院等知名院所和扬州大学等院校联系，为电商园区企业输送人才；建立人才与企业双向选择的人力资源平台，培养和引进技术型人才；搭建好科技创新平台等平台，提升园区整体承载能力。</w:t>
      </w:r>
      <w:r>
        <w:rPr>
          <w:rFonts w:hint="eastAsia" w:ascii="楷体_GB2312" w:eastAsia="楷体_GB2312"/>
          <w:sz w:val="32"/>
        </w:rPr>
        <w:t>六是积极参与精准脱贫和企业帮扶。</w:t>
      </w:r>
      <w:r>
        <w:rPr>
          <w:rFonts w:hint="eastAsia" w:ascii="仿宋_GB2312" w:eastAsia="仿宋_GB2312"/>
          <w:sz w:val="32"/>
        </w:rPr>
        <w:t>做好“三服务三促进”挂钩企业帮扶工作，根据“三进三帮”工作方案，先后走访家庭或企业十余次，摸排情况，查找问题，回应诉求，化解难题，让群众和企业有更多获得感。</w:t>
      </w:r>
    </w:p>
    <w:p>
      <w:pPr>
        <w:adjustRightInd w:val="0"/>
        <w:snapToGrid w:val="0"/>
        <w:spacing w:line="560" w:lineRule="exact"/>
        <w:ind w:firstLine="640"/>
        <w:rPr>
          <w:rFonts w:ascii="黑体" w:hAnsi="黑体" w:eastAsia="黑体"/>
          <w:sz w:val="32"/>
        </w:rPr>
      </w:pPr>
      <w:r>
        <w:rPr>
          <w:rFonts w:ascii="黑体" w:hAnsi="黑体" w:eastAsia="黑体"/>
          <w:sz w:val="32"/>
        </w:rPr>
        <w:t>三</w:t>
      </w:r>
      <w:r>
        <w:rPr>
          <w:rFonts w:hint="eastAsia" w:ascii="黑体" w:hAnsi="黑体" w:eastAsia="黑体"/>
          <w:sz w:val="32"/>
        </w:rPr>
        <w:t>、增强履职本领，提升党建工作实效</w:t>
      </w:r>
    </w:p>
    <w:p>
      <w:pPr>
        <w:adjustRightInd w:val="0"/>
        <w:snapToGrid w:val="0"/>
        <w:spacing w:line="560" w:lineRule="exact"/>
        <w:ind w:firstLine="640"/>
        <w:rPr>
          <w:rFonts w:ascii="仿宋_GB2312" w:eastAsia="仿宋_GB2312"/>
          <w:sz w:val="32"/>
        </w:rPr>
      </w:pPr>
      <w:r>
        <w:rPr>
          <w:rFonts w:hint="eastAsia" w:ascii="仿宋_GB2312" w:eastAsia="仿宋_GB2312"/>
          <w:sz w:val="32"/>
        </w:rPr>
        <w:t>回校后，坚持以习近平新时代中国特色社会主义思想为指导，对标争先、奋勇开拓，顺利完成了各项目标任务。</w:t>
      </w:r>
    </w:p>
    <w:p>
      <w:pPr>
        <w:adjustRightInd w:val="0"/>
        <w:snapToGrid w:val="0"/>
        <w:spacing w:line="560" w:lineRule="exact"/>
        <w:ind w:firstLine="640"/>
        <w:rPr>
          <w:rFonts w:ascii="仿宋_GB2312" w:eastAsia="仿宋_GB2312"/>
          <w:sz w:val="32"/>
        </w:rPr>
      </w:pPr>
      <w:r>
        <w:rPr>
          <w:rFonts w:hint="eastAsia" w:ascii="楷体_GB2312" w:eastAsia="楷体_GB2312"/>
          <w:sz w:val="32"/>
        </w:rPr>
        <w:t>一是协助做好校第三次党代会组织工作。</w:t>
      </w:r>
      <w:r>
        <w:rPr>
          <w:rFonts w:hint="eastAsia" w:ascii="仿宋_GB2312" w:eastAsia="仿宋_GB2312"/>
          <w:sz w:val="32"/>
        </w:rPr>
        <w:t>在学校党委的统一领导下，认真制定党代会工作方案，会同有关部门和各基层党组织及时做好第三次党代会各项筹备工作，完成党代会代表选举、“两委委员”候选人酝酿产生、大会选举等组织工作。</w:t>
      </w:r>
      <w:r>
        <w:rPr>
          <w:rFonts w:hint="eastAsia" w:ascii="楷体_GB2312" w:eastAsia="楷体_GB2312"/>
          <w:sz w:val="32"/>
        </w:rPr>
        <w:t>二是推进学校“不忘初心、牢记使命”主题教育走深走实。</w:t>
      </w:r>
      <w:r>
        <w:rPr>
          <w:rFonts w:hint="eastAsia" w:ascii="仿宋_GB2312" w:eastAsia="仿宋_GB2312"/>
          <w:sz w:val="32"/>
        </w:rPr>
        <w:t>担任学校“不忘初心、牢记使命”主题教育领导小组办公室主任，负责协调主题教育日常工作。学校主题教育取得扎实成效，相关做法得到省主题教育办公室和巡回指导组的充分肯定，江苏第52期主题教育简报以《盐城师范学院结合办学特点深化主题教育》为题予以推介。</w:t>
      </w:r>
      <w:r>
        <w:rPr>
          <w:rFonts w:hint="eastAsia" w:ascii="楷体_GB2312" w:eastAsia="楷体_GB2312"/>
          <w:sz w:val="32"/>
        </w:rPr>
        <w:t>三是推进基层党建强基固本，提升组织建设组织力。</w:t>
      </w:r>
      <w:r>
        <w:rPr>
          <w:rFonts w:hint="eastAsia" w:ascii="仿宋_GB2312" w:eastAsia="仿宋_GB2312"/>
          <w:sz w:val="32"/>
        </w:rPr>
        <w:t>协助制定《“党建质量提升年”活动实施方案》、《2019-2021年新时代我校党支部建设“提质增效”三年行动计划》等系列文件，推进标准化党支部建设、“双带头人”教师党支部书记工作室建设，积极落实我校“书记项目”工作，推荐申报省级评先评优。相关内容分别在教育部简报、江苏教育工作简报宣传。学校1个党支部获评全国党建工作“样板支部”称号；荣获省高校先进基层党组织1个，省高校党建创新奖1项，省高校最佳党日活动优胜奖2项，省高校优秀共产党员1名，全省党员教育微视频大赛三等奖1项；成功组织申报3项省教育系统党建研究课题。</w:t>
      </w:r>
      <w:r>
        <w:rPr>
          <w:rFonts w:hint="eastAsia" w:ascii="楷体_GB2312" w:eastAsia="楷体_GB2312"/>
          <w:sz w:val="32"/>
        </w:rPr>
        <w:t>四是推进选人用人内在动力，提升干部队伍担当力。</w:t>
      </w:r>
      <w:r>
        <w:rPr>
          <w:rFonts w:hint="eastAsia" w:ascii="仿宋_GB2312" w:eastAsia="仿宋_GB2312"/>
          <w:sz w:val="32"/>
        </w:rPr>
        <w:t>坚持新时期好干部标准，严格执行干部选拔任用“凡提四必”规定。主动落实“三项机制”，制定出台相关办法和实施细则。积极输送干部参加国家、省主管部门举办的各类理论和业务培训15人次。完成领导干部个人有关事项报告及抽查核实工作。</w:t>
      </w:r>
      <w:r>
        <w:rPr>
          <w:rFonts w:hint="eastAsia" w:ascii="楷体_GB2312" w:eastAsia="楷体_GB2312"/>
          <w:sz w:val="32"/>
        </w:rPr>
        <w:t>五是推进形成大统战工作格局，提升事业发展聚合力。</w:t>
      </w:r>
      <w:r>
        <w:rPr>
          <w:rFonts w:hint="eastAsia" w:ascii="仿宋_GB2312" w:eastAsia="仿宋_GB2312"/>
          <w:sz w:val="32"/>
        </w:rPr>
        <w:t>加强统战工作制度建设，加强民主党派建设，成立致公党盐城师范学院支部，顺利完成九三学社盐城师范学院支社和民盟盐城师范学院总支换届工作。建设“统战之家”。学校统战“同心共绘”工程被教育部工作简报和省教育工委工作简报双报道；统战培训工作被中央统战部和省委统战部报道；获省高校统战工作理论创新与实践创新研究成果1项。</w:t>
      </w:r>
      <w:r>
        <w:rPr>
          <w:rFonts w:hint="eastAsia" w:ascii="楷体_GB2312" w:eastAsia="楷体_GB2312"/>
          <w:sz w:val="32"/>
        </w:rPr>
        <w:t>六是推进考核“指挥棒”作用，提升高质量发展引领力。</w:t>
      </w:r>
      <w:r>
        <w:rPr>
          <w:rFonts w:hint="eastAsia" w:ascii="仿宋_GB2312" w:eastAsia="仿宋_GB2312"/>
          <w:sz w:val="32"/>
        </w:rPr>
        <w:t>多次赴省参加综合考核相关会议，协助校领导召开协调会议，分解考核指标任务，并完成各部门最终材料的整理汇总工作。协助组织学校工作汇报会。</w:t>
      </w:r>
    </w:p>
    <w:p>
      <w:pPr>
        <w:adjustRightInd w:val="0"/>
        <w:snapToGrid w:val="0"/>
        <w:spacing w:line="560" w:lineRule="exact"/>
        <w:ind w:firstLine="640"/>
        <w:rPr>
          <w:rFonts w:ascii="仿宋_GB2312" w:eastAsia="仿宋_GB2312"/>
          <w:sz w:val="32"/>
        </w:rPr>
      </w:pPr>
      <w:r>
        <w:rPr>
          <w:rFonts w:hint="eastAsia" w:ascii="仿宋_GB2312" w:eastAsia="仿宋_GB2312"/>
          <w:sz w:val="32"/>
        </w:rPr>
        <w:t>此外，认真完成学校安排的其他工作。作为巡察组组长，对文学院党委进行了校内第一轮巡察。新招南京工业大学、扬州大学2名硕士研究生。承担了10名本科生的毕业论文指导工作。</w:t>
      </w:r>
    </w:p>
    <w:p>
      <w:pPr>
        <w:adjustRightInd w:val="0"/>
        <w:snapToGrid w:val="0"/>
        <w:spacing w:line="560" w:lineRule="exact"/>
        <w:ind w:firstLine="640"/>
        <w:rPr>
          <w:rFonts w:ascii="黑体" w:hAnsi="黑体" w:eastAsia="黑体"/>
          <w:sz w:val="32"/>
        </w:rPr>
      </w:pPr>
      <w:r>
        <w:rPr>
          <w:rFonts w:hint="eastAsia" w:ascii="黑体" w:hAnsi="黑体" w:eastAsia="黑体"/>
          <w:sz w:val="32"/>
        </w:rPr>
        <w:t>四、狠抓廉洁自律，提高拒腐防变能力</w:t>
      </w:r>
    </w:p>
    <w:p>
      <w:pPr>
        <w:adjustRightInd w:val="0"/>
        <w:snapToGrid w:val="0"/>
        <w:spacing w:line="560" w:lineRule="exact"/>
        <w:ind w:firstLine="640"/>
        <w:rPr>
          <w:rFonts w:ascii="仿宋_GB2312" w:eastAsia="仿宋_GB2312"/>
          <w:sz w:val="32"/>
        </w:rPr>
      </w:pPr>
      <w:r>
        <w:rPr>
          <w:rFonts w:hint="eastAsia" w:ascii="仿宋_GB2312" w:eastAsia="仿宋_GB2312"/>
          <w:sz w:val="32"/>
        </w:rPr>
        <w:t>坚守政治底线、纪律底线，充分发挥示范带头作用。自觉贯彻中央八项规定和省委十项规定精神，反对和纠正形式主义、官僚主义。认真执行学校党委决议决定，坚持落实请示报告制度。牢记宗旨意识，坚持管理就是服务理念</w:t>
      </w:r>
      <w:bookmarkStart w:id="0" w:name="_GoBack"/>
      <w:bookmarkEnd w:id="0"/>
      <w:r>
        <w:rPr>
          <w:rFonts w:hint="eastAsia" w:ascii="仿宋_GB2312" w:eastAsia="仿宋_GB2312"/>
          <w:sz w:val="32"/>
        </w:rPr>
        <w:t>，做到自重、自警、自省、自励，始终保持共产党员的高尚品格和廉洁操守。</w:t>
      </w:r>
    </w:p>
    <w:p>
      <w:pPr>
        <w:adjustRightInd w:val="0"/>
        <w:snapToGrid w:val="0"/>
        <w:spacing w:line="560" w:lineRule="exact"/>
        <w:ind w:firstLine="640"/>
        <w:rPr>
          <w:rFonts w:ascii="黑体" w:hAnsi="黑体" w:eastAsia="黑体"/>
          <w:sz w:val="32"/>
        </w:rPr>
      </w:pPr>
      <w:r>
        <w:rPr>
          <w:rFonts w:ascii="黑体" w:hAnsi="黑体" w:eastAsia="黑体"/>
          <w:sz w:val="32"/>
        </w:rPr>
        <w:t>五</w:t>
      </w:r>
      <w:r>
        <w:rPr>
          <w:rFonts w:hint="eastAsia" w:ascii="黑体" w:hAnsi="黑体" w:eastAsia="黑体"/>
          <w:sz w:val="32"/>
        </w:rPr>
        <w:t>、存在问题与不足</w:t>
      </w:r>
    </w:p>
    <w:p>
      <w:pPr>
        <w:adjustRightInd w:val="0"/>
        <w:snapToGrid w:val="0"/>
        <w:spacing w:line="560" w:lineRule="exact"/>
        <w:ind w:firstLine="640"/>
        <w:rPr>
          <w:rFonts w:ascii="仿宋_GB2312" w:eastAsia="仿宋_GB2312"/>
          <w:sz w:val="32"/>
        </w:rPr>
      </w:pPr>
      <w:r>
        <w:rPr>
          <w:rFonts w:hint="eastAsia" w:ascii="仿宋_GB2312" w:eastAsia="仿宋_GB2312"/>
          <w:sz w:val="32"/>
        </w:rPr>
        <w:t>在这一任期虽然取得了一定的成绩，但也清楚地认识到还存在一些问题与不足。主要表现为：</w:t>
      </w:r>
      <w:r>
        <w:rPr>
          <w:rFonts w:hint="eastAsia" w:ascii="楷体_GB2312" w:eastAsia="楷体_GB2312"/>
          <w:sz w:val="32"/>
        </w:rPr>
        <w:t>一是理论学习不够深入，学用结合不够紧密。</w:t>
      </w:r>
      <w:r>
        <w:rPr>
          <w:rFonts w:hint="eastAsia" w:ascii="仿宋_GB2312" w:eastAsia="仿宋_GB2312"/>
          <w:sz w:val="32"/>
        </w:rPr>
        <w:t>学习缺乏系统性、持续性，存在实用主义现象。对新时期高校党建工作面临问题的问题欠缺系统深入的研究，对精准运用新思想指导具体实践缺乏深入研探。</w:t>
      </w:r>
      <w:r>
        <w:rPr>
          <w:rFonts w:hint="eastAsia" w:ascii="楷体_GB2312" w:eastAsia="楷体_GB2312"/>
          <w:sz w:val="32"/>
        </w:rPr>
        <w:t>二是工作中一定程度存在懈怠心理，狠抓落实的韧劲不够。</w:t>
      </w:r>
      <w:r>
        <w:rPr>
          <w:rFonts w:hint="eastAsia" w:ascii="仿宋_GB2312" w:eastAsia="仿宋_GB2312"/>
          <w:sz w:val="32"/>
        </w:rPr>
        <w:t>面对繁重的任务，思想上有时有畏难情绪，缺乏苦干实干、奋勇争先的拼搏精神。此外，工作中常囿于日常事务，抓落实还不够到位，使得有些任务容易走样或是打折扣。对于这些不足与问题，我将在今后的工作中切实加以重视和改进。</w:t>
      </w:r>
    </w:p>
    <w:sectPr>
      <w:footerReference r:id="rId3" w:type="default"/>
      <w:pgSz w:w="11906" w:h="16838"/>
      <w:pgMar w:top="1701" w:right="1701" w:bottom="170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30224419"/>
      <w:docPartObj>
        <w:docPartGallery w:val="AutoText"/>
      </w:docPartObj>
    </w:sdtPr>
    <w:sdtEndPr>
      <w:rPr>
        <w:rFonts w:ascii="Times New Roman" w:hAnsi="Times New Roman" w:cs="Times New Roman"/>
        <w:sz w:val="24"/>
      </w:rPr>
    </w:sdtEndPr>
    <w:sdtContent>
      <w:p>
        <w:pPr>
          <w:pStyle w:val="2"/>
          <w:jc w:val="center"/>
          <w:rPr>
            <w:rFonts w:ascii="Times New Roman" w:hAnsi="Times New Roman" w:cs="Times New Roman"/>
            <w:sz w:val="24"/>
          </w:rPr>
        </w:pPr>
        <w:r>
          <w:rPr>
            <w:rFonts w:ascii="Times New Roman" w:hAnsi="Times New Roman" w:cs="Times New Roman"/>
            <w:sz w:val="24"/>
          </w:rPr>
          <w:fldChar w:fldCharType="begin"/>
        </w:r>
        <w:r>
          <w:rPr>
            <w:rFonts w:ascii="Times New Roman" w:hAnsi="Times New Roman" w:cs="Times New Roman"/>
            <w:sz w:val="24"/>
          </w:rPr>
          <w:instrText xml:space="preserve">PAGE   \* MERGEFORMAT</w:instrText>
        </w:r>
        <w:r>
          <w:rPr>
            <w:rFonts w:ascii="Times New Roman" w:hAnsi="Times New Roman" w:cs="Times New Roman"/>
            <w:sz w:val="24"/>
          </w:rPr>
          <w:fldChar w:fldCharType="separate"/>
        </w:r>
        <w:r>
          <w:rPr>
            <w:rFonts w:ascii="Times New Roman" w:hAnsi="Times New Roman" w:cs="Times New Roman"/>
            <w:sz w:val="24"/>
            <w:lang w:val="zh-CN"/>
          </w:rPr>
          <w:t>1</w:t>
        </w:r>
        <w:r>
          <w:rPr>
            <w:rFonts w:ascii="Times New Roman" w:hAnsi="Times New Roman" w:cs="Times New Roman"/>
            <w:sz w:val="24"/>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777"/>
    <w:rsid w:val="000004FD"/>
    <w:rsid w:val="00000BF1"/>
    <w:rsid w:val="00007C0A"/>
    <w:rsid w:val="0003215D"/>
    <w:rsid w:val="0003222B"/>
    <w:rsid w:val="00055FC9"/>
    <w:rsid w:val="00095E63"/>
    <w:rsid w:val="000F259C"/>
    <w:rsid w:val="0011579C"/>
    <w:rsid w:val="001B6314"/>
    <w:rsid w:val="001C30D2"/>
    <w:rsid w:val="001E6FF2"/>
    <w:rsid w:val="00207C2D"/>
    <w:rsid w:val="00224E9C"/>
    <w:rsid w:val="00245523"/>
    <w:rsid w:val="00252126"/>
    <w:rsid w:val="00254D12"/>
    <w:rsid w:val="002A60F1"/>
    <w:rsid w:val="003517CB"/>
    <w:rsid w:val="003E0A82"/>
    <w:rsid w:val="00406777"/>
    <w:rsid w:val="00471448"/>
    <w:rsid w:val="00477ABF"/>
    <w:rsid w:val="004D6F91"/>
    <w:rsid w:val="00553654"/>
    <w:rsid w:val="00606D24"/>
    <w:rsid w:val="00610FE5"/>
    <w:rsid w:val="00631436"/>
    <w:rsid w:val="00646304"/>
    <w:rsid w:val="0069304F"/>
    <w:rsid w:val="006D23EF"/>
    <w:rsid w:val="00706D48"/>
    <w:rsid w:val="00712A47"/>
    <w:rsid w:val="00736E99"/>
    <w:rsid w:val="00737CBB"/>
    <w:rsid w:val="0078625C"/>
    <w:rsid w:val="007A45D3"/>
    <w:rsid w:val="0080699D"/>
    <w:rsid w:val="008105BD"/>
    <w:rsid w:val="008209A2"/>
    <w:rsid w:val="008A6FCD"/>
    <w:rsid w:val="008C4C1D"/>
    <w:rsid w:val="008D1342"/>
    <w:rsid w:val="00950822"/>
    <w:rsid w:val="009A5DDC"/>
    <w:rsid w:val="009C065F"/>
    <w:rsid w:val="009D2B48"/>
    <w:rsid w:val="00A0130D"/>
    <w:rsid w:val="00A2372A"/>
    <w:rsid w:val="00A953E6"/>
    <w:rsid w:val="00AF22EE"/>
    <w:rsid w:val="00B82029"/>
    <w:rsid w:val="00BB055A"/>
    <w:rsid w:val="00BC7443"/>
    <w:rsid w:val="00BD7362"/>
    <w:rsid w:val="00D06F92"/>
    <w:rsid w:val="00D17C1C"/>
    <w:rsid w:val="00DC7EBC"/>
    <w:rsid w:val="00E71D9D"/>
    <w:rsid w:val="00F60D99"/>
    <w:rsid w:val="00F911AD"/>
    <w:rsid w:val="00FA7CD0"/>
    <w:rsid w:val="00FC5227"/>
    <w:rsid w:val="00FC75AB"/>
    <w:rsid w:val="55ED2DC2"/>
    <w:rsid w:val="66AC2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429</Words>
  <Characters>2450</Characters>
  <Lines>20</Lines>
  <Paragraphs>5</Paragraphs>
  <TotalTime>477</TotalTime>
  <ScaleCrop>false</ScaleCrop>
  <LinksUpToDate>false</LinksUpToDate>
  <CharactersWithSpaces>2874</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2020-07-02T08:16:00Z</dcterms:created>
  <dc:creator>瞿 颖</dc:creator>
  <cp:lastModifiedBy>于建江</cp:lastModifiedBy>
  <dcterms:modified xsi:type="dcterms:W3CDTF">2020-07-04T08:50:11Z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