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ascii="黑体" w:hAnsi="黑体" w:eastAsia="黑体"/>
          <w:b/>
          <w:sz w:val="48"/>
          <w:szCs w:val="48"/>
        </w:rPr>
      </w:pPr>
      <w:r>
        <w:rPr>
          <w:rFonts w:hint="eastAsia" w:ascii="黑体" w:hAnsi="黑体" w:eastAsia="黑体"/>
          <w:b/>
          <w:sz w:val="48"/>
          <w:szCs w:val="48"/>
        </w:rPr>
        <w:t>法政学院</w:t>
      </w:r>
      <w:r>
        <w:rPr>
          <w:rFonts w:hint="eastAsia" w:ascii="黑体" w:hAnsi="黑体" w:eastAsia="黑体"/>
          <w:b/>
          <w:sz w:val="48"/>
          <w:szCs w:val="48"/>
          <w:lang w:val="en-US" w:eastAsia="zh-CN"/>
        </w:rPr>
        <w:t>领导班子</w:t>
      </w:r>
      <w:r>
        <w:rPr>
          <w:rFonts w:hint="eastAsia" w:ascii="黑体" w:hAnsi="黑体" w:eastAsia="黑体"/>
          <w:b/>
          <w:sz w:val="48"/>
          <w:szCs w:val="48"/>
        </w:rPr>
        <w:t xml:space="preserve"> </w:t>
      </w:r>
    </w:p>
    <w:p>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ascii="华文楷体" w:hAnsi="华文楷体" w:eastAsia="华文楷体"/>
          <w:b/>
          <w:sz w:val="44"/>
          <w:szCs w:val="44"/>
        </w:rPr>
      </w:pPr>
      <w:r>
        <w:rPr>
          <w:rFonts w:hint="eastAsia" w:ascii="华文楷体" w:hAnsi="华文楷体" w:eastAsia="华文楷体"/>
          <w:b/>
          <w:sz w:val="44"/>
          <w:szCs w:val="44"/>
        </w:rPr>
        <w:t xml:space="preserve"> 20</w:t>
      </w:r>
      <w:r>
        <w:rPr>
          <w:rFonts w:hint="eastAsia" w:ascii="华文楷体" w:hAnsi="华文楷体" w:eastAsia="华文楷体"/>
          <w:b/>
          <w:sz w:val="44"/>
          <w:szCs w:val="44"/>
          <w:lang w:val="en-US" w:eastAsia="zh-CN"/>
        </w:rPr>
        <w:t>20</w:t>
      </w:r>
      <w:r>
        <w:rPr>
          <w:rFonts w:hint="eastAsia" w:ascii="华文楷体" w:hAnsi="华文楷体" w:eastAsia="华文楷体"/>
          <w:b/>
          <w:sz w:val="44"/>
          <w:szCs w:val="44"/>
        </w:rPr>
        <w:t>年工作总结</w:t>
      </w:r>
    </w:p>
    <w:p>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eastAsia="仿宋_GB2312"/>
          <w:szCs w:val="21"/>
        </w:rPr>
      </w:pPr>
      <w:r>
        <w:rPr>
          <w:rFonts w:hint="eastAsia" w:eastAsia="仿宋_GB2312"/>
          <w:szCs w:val="21"/>
        </w:rPr>
        <w:t>（</w:t>
      </w:r>
      <w:r>
        <w:rPr>
          <w:rFonts w:eastAsia="仿宋_GB2312"/>
          <w:szCs w:val="21"/>
        </w:rPr>
        <w:t>20</w:t>
      </w:r>
      <w:r>
        <w:rPr>
          <w:rFonts w:hint="eastAsia" w:eastAsia="仿宋_GB2312"/>
          <w:szCs w:val="21"/>
          <w:lang w:val="en-US" w:eastAsia="zh-CN"/>
        </w:rPr>
        <w:t>20</w:t>
      </w:r>
      <w:r>
        <w:rPr>
          <w:rFonts w:eastAsia="仿宋_GB2312"/>
          <w:szCs w:val="21"/>
        </w:rPr>
        <w:t>年</w:t>
      </w:r>
      <w:r>
        <w:rPr>
          <w:rFonts w:hint="eastAsia" w:eastAsia="仿宋_GB2312"/>
          <w:szCs w:val="21"/>
        </w:rPr>
        <w:t>12</w:t>
      </w:r>
      <w:r>
        <w:rPr>
          <w:rFonts w:eastAsia="仿宋_GB2312"/>
          <w:szCs w:val="21"/>
        </w:rPr>
        <w:t>月</w:t>
      </w:r>
      <w:r>
        <w:rPr>
          <w:rFonts w:hint="eastAsia" w:eastAsia="仿宋_GB2312"/>
          <w:szCs w:val="21"/>
          <w:lang w:val="en-US" w:eastAsia="zh-CN"/>
        </w:rPr>
        <w:t>27</w:t>
      </w:r>
      <w:r>
        <w:rPr>
          <w:rFonts w:hint="eastAsia" w:eastAsia="仿宋_GB2312"/>
          <w:szCs w:val="21"/>
        </w:rPr>
        <w:t>日）</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textAlignment w:val="auto"/>
        <w:rPr>
          <w:rFonts w:ascii="仿宋_GB2312" w:hAnsi="Arial" w:eastAsia="仿宋_GB2312" w:cs="Arial"/>
          <w:color w:val="000000"/>
          <w:sz w:val="30"/>
          <w:szCs w:val="30"/>
        </w:rPr>
      </w:pPr>
      <w:r>
        <w:rPr>
          <w:rFonts w:hint="eastAsia" w:ascii="仿宋_GB2312" w:hAnsi="仿宋" w:eastAsia="仿宋_GB2312"/>
          <w:color w:val="000000"/>
          <w:sz w:val="32"/>
          <w:szCs w:val="32"/>
          <w:lang w:val="en-US"/>
        </w:rPr>
        <w:t>2020</w:t>
      </w:r>
      <w:r>
        <w:rPr>
          <w:rFonts w:hint="eastAsia" w:ascii="仿宋_GB2312" w:hAnsi="仿宋" w:eastAsia="仿宋_GB2312"/>
          <w:color w:val="000000"/>
          <w:sz w:val="32"/>
          <w:szCs w:val="32"/>
        </w:rPr>
        <w:t>年</w:t>
      </w:r>
      <w:r>
        <w:rPr>
          <w:rFonts w:hint="eastAsia" w:ascii="仿宋_GB2312" w:hAnsi="仿宋" w:eastAsia="仿宋_GB2312"/>
          <w:color w:val="000000"/>
          <w:sz w:val="32"/>
          <w:szCs w:val="32"/>
          <w:lang w:val="en-US" w:eastAsia="zh-CN"/>
        </w:rPr>
        <w:t>法政</w:t>
      </w:r>
      <w:r>
        <w:rPr>
          <w:rFonts w:hint="eastAsia" w:ascii="仿宋_GB2312" w:hAnsi="仿宋" w:eastAsia="仿宋_GB2312"/>
          <w:color w:val="000000"/>
          <w:sz w:val="32"/>
          <w:szCs w:val="32"/>
        </w:rPr>
        <w:t>学院领导班子在校党委、校行政的领导下</w:t>
      </w:r>
      <w:r>
        <w:rPr>
          <w:rFonts w:hint="eastAsia" w:ascii="仿宋_GB2312" w:hAnsi="仿宋" w:eastAsia="仿宋_GB2312"/>
          <w:color w:val="000000"/>
          <w:sz w:val="32"/>
          <w:szCs w:val="32"/>
          <w:lang w:val="en-US"/>
        </w:rPr>
        <w:t>,</w:t>
      </w:r>
      <w:r>
        <w:rPr>
          <w:rFonts w:hint="eastAsia" w:ascii="仿宋_GB2312" w:hAnsi="仿宋" w:eastAsia="仿宋_GB2312"/>
          <w:color w:val="000000"/>
          <w:sz w:val="32"/>
          <w:szCs w:val="32"/>
        </w:rPr>
        <w:t>在机关各部门的大力支持下</w:t>
      </w:r>
      <w:r>
        <w:rPr>
          <w:rFonts w:hint="eastAsia" w:ascii="仿宋_GB2312" w:hAnsi="仿宋" w:eastAsia="仿宋_GB2312"/>
          <w:color w:val="000000"/>
          <w:sz w:val="32"/>
          <w:szCs w:val="32"/>
          <w:lang w:val="en-US"/>
        </w:rPr>
        <w:t>,</w:t>
      </w:r>
      <w:r>
        <w:rPr>
          <w:rFonts w:hint="eastAsia" w:ascii="仿宋_GB2312" w:hAnsi="仿宋" w:eastAsia="仿宋_GB2312"/>
          <w:color w:val="000000"/>
          <w:sz w:val="32"/>
          <w:szCs w:val="32"/>
        </w:rPr>
        <w:t>学院班子积极务实，认真谋划，带领全院教职工团结创新、克服困难，在教学、科研、社会服务等方面取得较好成果，现将本年度工作情况总结汇报如下</w:t>
      </w:r>
      <w:r>
        <w:rPr>
          <w:rFonts w:hint="eastAsia" w:ascii="仿宋_GB2312" w:hAnsi="Arial" w:eastAsia="仿宋_GB2312" w:cs="Arial"/>
          <w:color w:val="000000"/>
          <w:sz w:val="30"/>
          <w:szCs w:val="30"/>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500" w:lineRule="exact"/>
        <w:ind w:right="-198" w:rightChars="-90" w:firstLine="643" w:firstLineChars="200"/>
        <w:textAlignment w:val="auto"/>
        <w:rPr>
          <w:rFonts w:hint="eastAsia"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val="en-US" w:eastAsia="zh-CN"/>
        </w:rPr>
        <w:t>加强政治理论学习</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color w:val="000000"/>
          <w:sz w:val="32"/>
          <w:szCs w:val="32"/>
          <w:lang w:val="en-US" w:eastAsia="zh-CN"/>
        </w:rPr>
      </w:pPr>
      <w:r>
        <w:rPr>
          <w:rFonts w:hint="eastAsia" w:ascii="仿宋_GB2312" w:hAnsi="仿宋" w:eastAsia="仿宋_GB2312"/>
          <w:b/>
          <w:bCs/>
          <w:color w:val="000000"/>
          <w:sz w:val="32"/>
          <w:szCs w:val="32"/>
          <w:lang w:val="en-US" w:eastAsia="zh-CN"/>
        </w:rPr>
        <w:t>强化理论学习。</w:t>
      </w:r>
      <w:r>
        <w:rPr>
          <w:rFonts w:hint="eastAsia" w:ascii="仿宋_GB2312" w:hAnsi="仿宋" w:eastAsia="仿宋_GB2312"/>
          <w:color w:val="000000"/>
          <w:sz w:val="32"/>
          <w:szCs w:val="32"/>
          <w:lang w:val="en-US" w:eastAsia="zh-CN"/>
        </w:rPr>
        <w:t>认真学习贯彻党的十九大精神，全国教育工作会议精神，全国高校思想政治教育工作会议精神，中央全面依法治国工作会议精神，学校第三次党代会会议精神，以习近平新时代中国特色社会主义思想为引领，坚持潜心读原著学原文悟原理。</w:t>
      </w:r>
      <w:r>
        <w:rPr>
          <w:rFonts w:hint="eastAsia" w:ascii="仿宋_GB2312" w:hAnsi="仿宋" w:eastAsia="仿宋_GB2312"/>
          <w:color w:val="000000"/>
          <w:sz w:val="32"/>
          <w:szCs w:val="32"/>
        </w:rPr>
        <w:t>抓细落实党总支理论学习中心组制度、教职工政治理论学习制度、党支部“三会一课”制度。</w:t>
      </w:r>
      <w:r>
        <w:rPr>
          <w:rFonts w:hint="eastAsia" w:ascii="仿宋_GB2312" w:hAnsi="仿宋" w:eastAsia="仿宋_GB2312"/>
          <w:color w:val="000000"/>
          <w:sz w:val="32"/>
          <w:szCs w:val="32"/>
          <w:lang w:val="en-US" w:eastAsia="zh-CN"/>
        </w:rPr>
        <w:t>年初制定了院党总支理论学习中心组学习制度和计划，全年开展教职工政治理论学习20次。利用“学习强国”学习平台，加强学习型党组织建设，每月评选“学习之星”10名，丰富学习内容、增强学习效果。联合“习近平总书记关于思政课是落实立德树人根本任务的关键课程重要论述”座谈会，采用线上腾讯会议与线下座谈会相结合的方式，邀请到了复旦大学、中山大学、兰州大学、南京师范大学等多所高校马克思主义学院的知名专家教授发表主题演讲。</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color w:val="000000"/>
          <w:sz w:val="32"/>
          <w:szCs w:val="32"/>
        </w:rPr>
      </w:pPr>
      <w:r>
        <w:rPr>
          <w:rFonts w:hint="eastAsia" w:ascii="仿宋_GB2312" w:hAnsi="仿宋" w:eastAsia="仿宋_GB2312"/>
          <w:b/>
          <w:bCs/>
          <w:color w:val="000000"/>
          <w:sz w:val="32"/>
          <w:szCs w:val="32"/>
          <w:lang w:val="en-US" w:eastAsia="zh-CN"/>
        </w:rPr>
        <w:t>加强思想政治工作。</w:t>
      </w:r>
      <w:r>
        <w:rPr>
          <w:rFonts w:hint="eastAsia" w:ascii="仿宋_GB2312" w:hAnsi="仿宋" w:eastAsia="仿宋_GB2312"/>
          <w:color w:val="000000"/>
          <w:sz w:val="32"/>
          <w:szCs w:val="32"/>
          <w:lang w:val="en-US" w:eastAsia="zh-CN"/>
        </w:rPr>
        <w:t>按照《“三全育人”综合改革试点实施方案》，开展为好老师点赞活动。开展师德师风建设，邀请关工委老干部为全院师生开展“传承师道 立德树人”系列活动。</w:t>
      </w:r>
      <w:r>
        <w:rPr>
          <w:rFonts w:hint="eastAsia" w:ascii="仿宋_GB2312" w:hAnsi="仿宋" w:eastAsia="仿宋_GB2312"/>
          <w:color w:val="000000"/>
          <w:sz w:val="32"/>
          <w:szCs w:val="32"/>
        </w:rPr>
        <w:t>突出铸魂引航，依托王强事迹展览室、大学生理论宣讲团、青年学习社等平台，深化“四信”“四史”教育，传承弘扬铁军精神、王强精神，强化为党育人、为国育才情怀，筑牢意识形态精神高地。</w:t>
      </w:r>
      <w:r>
        <w:rPr>
          <w:rFonts w:hint="eastAsia" w:ascii="仿宋_GB2312" w:hAnsi="仿宋" w:eastAsia="仿宋_GB2312"/>
          <w:color w:val="000000"/>
          <w:sz w:val="32"/>
          <w:szCs w:val="32"/>
          <w:lang w:val="en-US" w:eastAsia="zh-CN"/>
        </w:rPr>
        <w:t>今年，成立了“红色文化讲解员”小分队，开展盐城市烈士事迹讲解工作，在烈士公祭日当天，对烈士家属、少年儿童等人开展讲解工作，参与总人次达200余人。</w:t>
      </w:r>
      <w:r>
        <w:rPr>
          <w:rFonts w:hint="eastAsia" w:ascii="仿宋_GB2312" w:hAnsi="仿宋" w:eastAsia="仿宋_GB2312"/>
          <w:color w:val="000000"/>
          <w:sz w:val="32"/>
          <w:szCs w:val="32"/>
        </w:rPr>
        <w:t>组织师生积极参加十九届五中全会精神宣讲、法治宣讲、师德师风宣讲</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1名教师党员入选盐城市“党员教育名师”（全市10人），2个微党课推荐江苏先锋“党课开讲啦”活动参评。</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default" w:ascii="仿宋_GB2312" w:hAnsi="仿宋" w:eastAsia="仿宋_GB2312"/>
          <w:color w:val="000000"/>
          <w:sz w:val="32"/>
          <w:szCs w:val="32"/>
          <w:lang w:val="en-US" w:eastAsia="zh-CN"/>
        </w:rPr>
      </w:pPr>
      <w:r>
        <w:rPr>
          <w:rFonts w:hint="eastAsia" w:ascii="仿宋_GB2312" w:hAnsi="仿宋" w:eastAsia="仿宋_GB2312"/>
          <w:b/>
          <w:bCs/>
          <w:color w:val="000000"/>
          <w:sz w:val="32"/>
          <w:szCs w:val="32"/>
          <w:lang w:val="en-US" w:eastAsia="zh-CN"/>
        </w:rPr>
        <w:t>经常性做好研判工作，落实意识形态工作责任制。</w:t>
      </w:r>
      <w:r>
        <w:rPr>
          <w:rFonts w:hint="eastAsia" w:ascii="仿宋_GB2312" w:hAnsi="仿宋" w:eastAsia="仿宋_GB2312"/>
          <w:color w:val="000000"/>
          <w:sz w:val="32"/>
          <w:szCs w:val="32"/>
          <w:lang w:val="en-US" w:eastAsia="zh-CN"/>
        </w:rPr>
        <w:t>全面落实《意识形态工作任务分工和责任分解方案》，按时报送分析研判报告书。</w:t>
      </w:r>
      <w:r>
        <w:rPr>
          <w:rFonts w:hint="eastAsia" w:ascii="仿宋_GB2312" w:hAnsi="仿宋" w:eastAsia="仿宋_GB2312"/>
          <w:color w:val="000000"/>
          <w:sz w:val="32"/>
          <w:szCs w:val="32"/>
        </w:rPr>
        <w:t>排查教育教学管理中的意识形态风险隐患。突出学研宣行，</w:t>
      </w:r>
      <w:r>
        <w:rPr>
          <w:rFonts w:hint="eastAsia" w:ascii="仿宋_GB2312" w:hAnsi="仿宋" w:eastAsia="仿宋_GB2312"/>
          <w:color w:val="000000"/>
          <w:sz w:val="32"/>
          <w:szCs w:val="32"/>
          <w:lang w:val="en-US" w:eastAsia="zh-CN"/>
        </w:rPr>
        <w:t>利用学院网站、微信公众号等多媒体平台，</w:t>
      </w:r>
      <w:r>
        <w:rPr>
          <w:rFonts w:hint="eastAsia" w:ascii="仿宋_GB2312" w:hAnsi="仿宋" w:eastAsia="仿宋_GB2312"/>
          <w:color w:val="000000"/>
          <w:sz w:val="32"/>
          <w:szCs w:val="32"/>
        </w:rPr>
        <w:t>弘扬马克思主义学风，将学习理论同研究解决学院改革发展稳定的重大问题、师生最关心最直接最现实的利益问题紧密结合起来，打造具有法政学院特色的思想文化建设品牌。</w:t>
      </w:r>
    </w:p>
    <w:p>
      <w:pPr>
        <w:keepNext w:val="0"/>
        <w:keepLines w:val="0"/>
        <w:pageBreakBefore w:val="0"/>
        <w:widowControl/>
        <w:numPr>
          <w:ilvl w:val="0"/>
          <w:numId w:val="1"/>
        </w:numPr>
        <w:kinsoku/>
        <w:wordWrap/>
        <w:overflowPunct/>
        <w:topLinePunct w:val="0"/>
        <w:autoSpaceDE/>
        <w:autoSpaceDN/>
        <w:bidi w:val="0"/>
        <w:adjustRightInd w:val="0"/>
        <w:snapToGrid w:val="0"/>
        <w:spacing w:line="500" w:lineRule="exact"/>
        <w:ind w:right="-198" w:rightChars="-90" w:firstLine="643" w:firstLineChars="200"/>
        <w:textAlignment w:val="auto"/>
        <w:rPr>
          <w:rFonts w:hint="default"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val="en-US" w:eastAsia="zh-CN"/>
        </w:rPr>
        <w:t>领导推进事业高质量发展</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学院</w:t>
      </w:r>
      <w:r>
        <w:rPr>
          <w:rFonts w:hint="eastAsia" w:ascii="仿宋_GB2312" w:hAnsi="仿宋" w:eastAsia="仿宋_GB2312"/>
          <w:color w:val="000000"/>
          <w:sz w:val="32"/>
          <w:szCs w:val="32"/>
          <w:lang w:val="en-US" w:eastAsia="zh-CN"/>
        </w:rPr>
        <w:t>领导班子</w:t>
      </w:r>
      <w:r>
        <w:rPr>
          <w:rFonts w:hint="eastAsia" w:ascii="仿宋_GB2312" w:hAnsi="仿宋" w:eastAsia="仿宋_GB2312"/>
          <w:color w:val="000000"/>
          <w:sz w:val="32"/>
          <w:szCs w:val="32"/>
        </w:rPr>
        <w:t>围绕学校</w:t>
      </w:r>
      <w:r>
        <w:rPr>
          <w:rFonts w:hint="eastAsia" w:ascii="仿宋_GB2312" w:hAnsi="仿宋" w:eastAsia="仿宋_GB2312"/>
          <w:color w:val="000000"/>
          <w:sz w:val="32"/>
          <w:szCs w:val="32"/>
          <w:lang w:val="en-US"/>
        </w:rPr>
        <w:t>2020</w:t>
      </w:r>
      <w:r>
        <w:rPr>
          <w:rFonts w:hint="eastAsia" w:ascii="仿宋_GB2312" w:hAnsi="仿宋" w:eastAsia="仿宋_GB2312"/>
          <w:color w:val="000000"/>
          <w:sz w:val="32"/>
          <w:szCs w:val="32"/>
        </w:rPr>
        <w:t>年工作计划确定的各项重点工作和本单位本年度的行政目标任务开展卓有成效的工作。具体如下：</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lang w:val="en-US" w:eastAsia="zh-CN"/>
        </w:rPr>
        <w:t>一</w:t>
      </w: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rPr>
        <w:t>教学工作</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lang w:eastAsia="zh-CN"/>
        </w:rPr>
      </w:pPr>
      <w:r>
        <w:rPr>
          <w:rFonts w:hint="eastAsia" w:ascii="仿宋_GB2312" w:hAnsi="仿宋" w:eastAsia="仿宋_GB2312"/>
          <w:b/>
          <w:bCs/>
          <w:color w:val="000000"/>
          <w:sz w:val="32"/>
          <w:szCs w:val="32"/>
          <w:lang w:val="en-US" w:eastAsia="zh-CN"/>
        </w:rPr>
        <w:t>1.</w:t>
      </w:r>
      <w:r>
        <w:rPr>
          <w:rFonts w:hint="eastAsia" w:ascii="仿宋_GB2312" w:hAnsi="仿宋" w:eastAsia="仿宋_GB2312"/>
          <w:b/>
          <w:bCs/>
          <w:color w:val="000000"/>
          <w:sz w:val="32"/>
          <w:szCs w:val="32"/>
        </w:rPr>
        <w:t>注重线上线下教学管理，抓实日常教学常规</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今年突发的新冠疫情对课堂教学带来了挑战和机遇。根据教育部“停课不停教，停课不停学”的要求以及学校相关教学安排，学院成立疫情防控线上教学工作领导小组，负责春学期线上教学的具体组织、协调和督查工作。组织师生进行线上教学平台使用培训，根据要求按课程组建在线教学团队。我院任课教师、教学团队充分利用大学MOOC、智慧树、爱课程、云班课、微信群、QQ群等平台和线上教学资源，积极开展线上教学，确保疫情防控期间教学进度和教学质量“不走样、不降低”。秋学期课堂教学全面转入线下教学</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学院引导教师开展线上线下混合式教学改革，实现课堂翻转。督导组成员和班子成员深入课堂, 加强教学督导检查。通过听课、评课和问卷调查等方式与教师、学生进行交流与沟通，反馈建议和意见，有效促进了教师和学生的专业成长。</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根据学校有关教学规章制度，我院</w:t>
      </w:r>
      <w:r>
        <w:rPr>
          <w:rFonts w:hint="eastAsia" w:ascii="仿宋_GB2312" w:hAnsi="仿宋" w:eastAsia="仿宋_GB2312"/>
          <w:color w:val="000000"/>
          <w:sz w:val="32"/>
          <w:szCs w:val="32"/>
          <w:lang w:val="en-US" w:eastAsia="zh-CN"/>
        </w:rPr>
        <w:t>领导班子</w:t>
      </w:r>
      <w:r>
        <w:rPr>
          <w:rFonts w:hint="eastAsia" w:ascii="仿宋_GB2312" w:hAnsi="仿宋" w:eastAsia="仿宋_GB2312"/>
          <w:color w:val="000000"/>
          <w:sz w:val="32"/>
          <w:szCs w:val="32"/>
        </w:rPr>
        <w:t>十分注重教学秩序运行的管理，规范教学程序。无擅自调课、停课、无故缺课和上课迟到、提前下课等情况，学生上课课堂迟到、早退现象极少，到课率高、作业完成情况良好，无任何教学事故发生。</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val="en-US" w:eastAsia="zh-CN"/>
        </w:rPr>
        <w:t>2.瞄准双一流，建设一流专业和课程</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思政专业2019年获评省一流建设专业，按照“突出优势、创新机制、打造品牌、整体提升”的原则，理清思路，凝练专业特色，整合多方资源，做好三年建设规划，扎实逐项落实任务计划，压实相关人员的责任。根据国家一流专业指标体系标准进一步完善2018级、2019级、2020级人才培养方案，继续实施特色专业建设工程和“一专业一特色”建设工作，探索推行“一人一艺”“一人多艺”和“劳动学分”教学模式，把“美育教育”和“劳动教育”落实在课程体系和人才培养的各个环节。并在此基础上积极申报国家一流专业。法学专业在校品牌专业结项通过基础上提出进一步要求，积极准备申报省一流专业。</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对照“金课”建设要求，扎实做好“五类金课”培育工作，政教专业</w:t>
      </w:r>
      <w:r>
        <w:rPr>
          <w:rFonts w:hint="eastAsia" w:ascii="仿宋_GB2312" w:hAnsi="仿宋" w:eastAsia="仿宋_GB2312"/>
          <w:color w:val="000000"/>
          <w:sz w:val="32"/>
          <w:szCs w:val="32"/>
          <w:lang w:val="en-US" w:eastAsia="zh-CN"/>
        </w:rPr>
        <w:t>1门课程</w:t>
      </w:r>
      <w:r>
        <w:rPr>
          <w:rFonts w:hint="eastAsia" w:ascii="仿宋_GB2312" w:hAnsi="仿宋" w:eastAsia="仿宋_GB2312"/>
          <w:color w:val="000000"/>
          <w:sz w:val="32"/>
          <w:szCs w:val="32"/>
        </w:rPr>
        <w:t>2020年11月获评教育部一流课程</w:t>
      </w:r>
      <w:r>
        <w:rPr>
          <w:rFonts w:hint="eastAsia" w:ascii="仿宋_GB2312" w:hAnsi="仿宋" w:eastAsia="仿宋_GB2312"/>
          <w:color w:val="000000"/>
          <w:sz w:val="32"/>
          <w:szCs w:val="32"/>
          <w:lang w:eastAsia="zh-CN"/>
        </w:rPr>
        <w:t>，还有</w:t>
      </w:r>
      <w:r>
        <w:rPr>
          <w:rFonts w:hint="eastAsia" w:ascii="仿宋_GB2312" w:hAnsi="仿宋" w:eastAsia="仿宋_GB2312"/>
          <w:color w:val="000000"/>
          <w:sz w:val="32"/>
          <w:szCs w:val="32"/>
          <w:lang w:val="en-US" w:eastAsia="zh-CN"/>
        </w:rPr>
        <w:t>1门课程</w:t>
      </w:r>
      <w:r>
        <w:rPr>
          <w:rFonts w:hint="eastAsia" w:ascii="仿宋_GB2312" w:hAnsi="仿宋" w:eastAsia="仿宋_GB2312"/>
          <w:color w:val="000000"/>
          <w:sz w:val="32"/>
          <w:szCs w:val="32"/>
        </w:rPr>
        <w:t>获校一流课程预培育项目。法学专业虚拟仿真实验项目获校重点培育项目立项。</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2019年6月思想政治教育专业通过教育部师范类专业二级认证，根据专家意见，学院成立专业论证整改工作小组，基于OBE理念，制定专业论证整改方案，提出具体有效的整改措施并落实到位，向教育部提交专业整改报告。通过整改旨在以改促建、追求卓越，打造一流质量标杆，为三级专业认证做好准备。2020年6月思政专业以优秀成绩通过省品牌专业一期结项验收。</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3.</w:t>
      </w:r>
      <w:r>
        <w:rPr>
          <w:rFonts w:hint="eastAsia" w:ascii="仿宋_GB2312" w:hAnsi="仿宋" w:eastAsia="仿宋_GB2312"/>
          <w:b/>
          <w:bCs/>
          <w:color w:val="000000"/>
          <w:sz w:val="32"/>
          <w:szCs w:val="32"/>
        </w:rPr>
        <w:t>加强内涵建设，不断提高本科教学质量和水平</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坚持以“学生中心、成果导向、持续改进”为原则，根据教育部要求，持续完善美育和劳动教育课程体系，通过调查实习生、实习单位对专业学生的评价和要求；调查毕业生发展情况、了解用人单位对毕业生的评价和要求，对2019级、2020级人才培养方案进行及时调整，力求培养定位精准、课程对口、教学高效。</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根据一流专业建设要求，我院对政教、法学两个专业进行了大纲的修订完善，新版大纲实现了知识与能力的对标，教学要求与毕业要求的对标，强调应用型人才的培养。</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积极落实新时代全国高等学校本科教育工作会议、新文科建设会议精神，以落实立德树人为根本，全面推进课程思政建设，着力推动课堂教学革改革。积极推广线上线下相结合的混合教学模式，2020年</w:t>
      </w:r>
      <w:r>
        <w:rPr>
          <w:rFonts w:hint="eastAsia" w:ascii="仿宋_GB2312" w:hAnsi="仿宋" w:eastAsia="仿宋_GB2312"/>
          <w:color w:val="000000"/>
          <w:sz w:val="32"/>
          <w:szCs w:val="32"/>
          <w:lang w:val="en-US" w:eastAsia="zh-CN"/>
        </w:rPr>
        <w:t>1位</w:t>
      </w:r>
      <w:r>
        <w:rPr>
          <w:rFonts w:hint="eastAsia" w:ascii="仿宋_GB2312" w:hAnsi="仿宋" w:eastAsia="仿宋_GB2312"/>
          <w:color w:val="000000"/>
          <w:sz w:val="32"/>
          <w:szCs w:val="32"/>
        </w:rPr>
        <w:t>老师获省第二届智慧教学竞赛二等奖，</w:t>
      </w:r>
      <w:r>
        <w:rPr>
          <w:rFonts w:hint="eastAsia" w:ascii="仿宋_GB2312" w:hAnsi="仿宋" w:eastAsia="仿宋_GB2312"/>
          <w:color w:val="000000"/>
          <w:sz w:val="32"/>
          <w:szCs w:val="32"/>
          <w:lang w:val="en-US" w:eastAsia="zh-CN"/>
        </w:rPr>
        <w:t>1位</w:t>
      </w:r>
      <w:r>
        <w:rPr>
          <w:rFonts w:hint="eastAsia" w:ascii="仿宋_GB2312" w:hAnsi="仿宋" w:eastAsia="仿宋_GB2312"/>
          <w:color w:val="000000"/>
          <w:sz w:val="32"/>
          <w:szCs w:val="32"/>
        </w:rPr>
        <w:t>老师获省级微课教学（课程思政类）竞赛二等奖。在校线上教学优秀案例评比中，我院</w:t>
      </w:r>
      <w:r>
        <w:rPr>
          <w:rFonts w:hint="eastAsia" w:ascii="仿宋_GB2312" w:hAnsi="仿宋" w:eastAsia="仿宋_GB2312"/>
          <w:color w:val="000000"/>
          <w:sz w:val="32"/>
          <w:szCs w:val="32"/>
          <w:lang w:eastAsia="zh-CN"/>
        </w:rPr>
        <w:t>有</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位老师获奖，学院获组织奖。在校中青年教师智慧教学会讲比赛中</w:t>
      </w:r>
      <w:r>
        <w:rPr>
          <w:rFonts w:hint="eastAsia" w:ascii="仿宋_GB2312" w:hAnsi="仿宋" w:eastAsia="仿宋_GB2312"/>
          <w:color w:val="000000"/>
          <w:sz w:val="32"/>
          <w:szCs w:val="32"/>
          <w:lang w:eastAsia="zh-CN"/>
        </w:rPr>
        <w:t>我院教师</w:t>
      </w:r>
      <w:r>
        <w:rPr>
          <w:rFonts w:hint="eastAsia" w:ascii="仿宋_GB2312" w:hAnsi="仿宋" w:eastAsia="仿宋_GB2312"/>
          <w:color w:val="000000"/>
          <w:sz w:val="32"/>
          <w:szCs w:val="32"/>
          <w:lang w:val="en-US" w:eastAsia="zh-CN"/>
        </w:rPr>
        <w:t>1人</w:t>
      </w:r>
      <w:r>
        <w:rPr>
          <w:rFonts w:hint="eastAsia" w:ascii="仿宋_GB2312" w:hAnsi="仿宋" w:eastAsia="仿宋_GB2312"/>
          <w:color w:val="000000"/>
          <w:sz w:val="32"/>
          <w:szCs w:val="32"/>
        </w:rPr>
        <w:t>获二等奖，</w:t>
      </w:r>
      <w:r>
        <w:rPr>
          <w:rFonts w:hint="eastAsia" w:ascii="仿宋_GB2312" w:hAnsi="仿宋" w:eastAsia="仿宋_GB2312"/>
          <w:color w:val="000000"/>
          <w:sz w:val="32"/>
          <w:szCs w:val="32"/>
          <w:lang w:val="en-US" w:eastAsia="zh-CN"/>
        </w:rPr>
        <w:t>1人</w:t>
      </w:r>
      <w:r>
        <w:rPr>
          <w:rFonts w:hint="eastAsia" w:ascii="仿宋_GB2312" w:hAnsi="仿宋" w:eastAsia="仿宋_GB2312"/>
          <w:color w:val="000000"/>
          <w:sz w:val="32"/>
          <w:szCs w:val="32"/>
        </w:rPr>
        <w:t>获三等奖。</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lang w:eastAsia="zh-CN"/>
        </w:rPr>
      </w:pPr>
      <w:r>
        <w:rPr>
          <w:rFonts w:hint="eastAsia" w:ascii="仿宋_GB2312" w:hAnsi="仿宋" w:eastAsia="仿宋_GB2312"/>
          <w:b/>
          <w:bCs/>
          <w:color w:val="000000"/>
          <w:sz w:val="32"/>
          <w:szCs w:val="32"/>
          <w:lang w:val="en-US" w:eastAsia="zh-CN"/>
        </w:rPr>
        <w:t>4.</w:t>
      </w:r>
      <w:r>
        <w:rPr>
          <w:rFonts w:hint="eastAsia" w:ascii="仿宋_GB2312" w:hAnsi="仿宋" w:eastAsia="仿宋_GB2312"/>
          <w:b/>
          <w:bCs/>
          <w:color w:val="000000"/>
          <w:sz w:val="32"/>
          <w:szCs w:val="32"/>
          <w:lang w:eastAsia="zh-CN"/>
        </w:rPr>
        <w:t>重视实践教学，积极搭建线上线下实践教学平台</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春学期由于疫情</w:t>
      </w:r>
      <w:r>
        <w:rPr>
          <w:rFonts w:hint="eastAsia" w:ascii="仿宋_GB2312" w:hAnsi="仿宋" w:eastAsia="仿宋_GB2312"/>
          <w:color w:val="000000"/>
          <w:sz w:val="32"/>
          <w:szCs w:val="32"/>
          <w:lang w:eastAsia="zh-CN"/>
        </w:rPr>
        <w:t>的影响</w:t>
      </w:r>
      <w:r>
        <w:rPr>
          <w:rFonts w:hint="eastAsia" w:ascii="仿宋_GB2312" w:hAnsi="仿宋" w:eastAsia="仿宋_GB2312"/>
          <w:color w:val="000000"/>
          <w:sz w:val="32"/>
          <w:szCs w:val="32"/>
        </w:rPr>
        <w:t>，给17级师范学生专业实习、16级学生毕业论文设计、各年级的实践类课程的开设带来了一定的困难。学院充分利用云平台开展实习指导、实习试讲、实习汇报、模拟法庭、社会热点评析、主题演讲等实践活动，实践教学课程也都在线上得以完成。</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与学工配合做好学生师范生技能的训练，大一大二年级保证“三字一话”训练常态化开展，学习部负责日常的检查评比，并纳入学生综合测评。组织“一院一赛”活动，从粉笔字、钢笔字、毛笔字、纠正错别字、朗诵等方面竞赛评比，激励学生不断训练提高“三字一话”基本功。大三大四年级强化教案设计、模拟授课、口语训练等环节，促进师范生专业技能提升。2020年我院2名省师范生基本功大赛选手获长三角首届师范生基本功大赛二等奖、三等奖各1项。</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制定法学专业“五个一”实践育人工程实施方案，开展“每周一言、每月一案、每季一辩、每期一庭、每年一赛”实践活动，落实到班级、到课程，责任到具体老师，培养学生的法律思维以及事实认定与法律适用等方面的实践能力。完成模拟法庭声音和摄像系统的更新，保证每期一庭实践教学的正常开展。在省大学生第四届知识产权竞赛中，我院获省二等奖。在校“铁军杯”辩论赛中，我院获得冠军。</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eastAsia="zh-CN"/>
        </w:rPr>
        <w:t>毕业论文管理上，</w:t>
      </w:r>
      <w:r>
        <w:rPr>
          <w:rFonts w:hint="eastAsia" w:ascii="仿宋_GB2312" w:hAnsi="仿宋" w:eastAsia="仿宋_GB2312"/>
          <w:color w:val="000000"/>
          <w:sz w:val="32"/>
          <w:szCs w:val="32"/>
        </w:rPr>
        <w:t>抓好选题、开题、答辩各环节的管理，制定论文进度时间表，严格指导教师和答辩组长责任制，努力提高本科生毕业论文质量。我院获省优秀本科毕业论文三等奖1项，校优秀本科毕业论文一等奖2项，二等奖1项，三等奖1项，获校优秀教学团队三等奖1项。</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eastAsia="zh-CN"/>
        </w:rPr>
        <w:t>今年</w:t>
      </w:r>
      <w:r>
        <w:rPr>
          <w:rFonts w:hint="eastAsia" w:ascii="仿宋_GB2312" w:hAnsi="仿宋" w:eastAsia="仿宋_GB2312"/>
          <w:color w:val="000000"/>
          <w:sz w:val="32"/>
          <w:szCs w:val="32"/>
        </w:rPr>
        <w:t xml:space="preserve">我院获省大学生创新创业训练计划重点项目2项，一般项目5项，校级12项。积极申报互联网+大学生创新创业项目申报，完成申报25项，并重点打造了红旅赛道的社会公益项目1项，为今后的申报成功积累了经验。 </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lang w:eastAsia="zh-CN"/>
        </w:rPr>
      </w:pPr>
      <w:r>
        <w:rPr>
          <w:rFonts w:hint="eastAsia" w:ascii="仿宋_GB2312" w:hAnsi="仿宋" w:eastAsia="仿宋_GB2312"/>
          <w:b/>
          <w:bCs/>
          <w:color w:val="000000"/>
          <w:sz w:val="32"/>
          <w:szCs w:val="32"/>
          <w:lang w:val="en-US" w:eastAsia="zh-CN"/>
        </w:rPr>
        <w:t>5.</w:t>
      </w:r>
      <w:r>
        <w:rPr>
          <w:rFonts w:hint="eastAsia" w:ascii="仿宋_GB2312" w:hAnsi="仿宋" w:eastAsia="仿宋_GB2312"/>
          <w:b/>
          <w:bCs/>
          <w:color w:val="000000"/>
          <w:sz w:val="32"/>
          <w:szCs w:val="32"/>
        </w:rPr>
        <w:t>开发利用校内外资源</w:t>
      </w: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rPr>
        <w:t>推进协同育人</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思想政治教育专业新增与盐城伍佑中学共同开发和建设互动教室，共建教研基地。盐城市法学会与我院合作共建法学理论研究基地，法学专业与江苏省方强戒毒所共同开发和建设法律咨询与援助基地。思想政治教育专业与中学名师共同开发和建设国家一流课程、省在线开放课程；法学专业与盐城市中级人民法院共同开发和建设《审判实务》课程。</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lang w:val="en-US" w:eastAsia="zh-CN"/>
        </w:rPr>
        <w:t>二</w:t>
      </w: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rPr>
        <w:t>科研和</w:t>
      </w:r>
      <w:r>
        <w:rPr>
          <w:rFonts w:hint="eastAsia" w:ascii="仿宋_GB2312" w:hAnsi="仿宋" w:eastAsia="仿宋_GB2312"/>
          <w:b/>
          <w:bCs/>
          <w:color w:val="000000"/>
          <w:sz w:val="32"/>
          <w:szCs w:val="32"/>
          <w:lang w:eastAsia="zh-CN"/>
        </w:rPr>
        <w:t>社会服务</w:t>
      </w:r>
      <w:r>
        <w:rPr>
          <w:rFonts w:hint="eastAsia" w:ascii="仿宋_GB2312" w:hAnsi="仿宋" w:eastAsia="仿宋_GB2312"/>
          <w:b/>
          <w:bCs/>
          <w:color w:val="000000"/>
          <w:sz w:val="32"/>
          <w:szCs w:val="32"/>
        </w:rPr>
        <w:t>工作</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1.</w:t>
      </w:r>
      <w:r>
        <w:rPr>
          <w:rFonts w:hint="eastAsia" w:ascii="仿宋_GB2312" w:hAnsi="仿宋" w:eastAsia="仿宋_GB2312"/>
          <w:b/>
          <w:bCs/>
          <w:color w:val="000000"/>
          <w:sz w:val="32"/>
          <w:szCs w:val="32"/>
        </w:rPr>
        <w:t>加强科研项目过程管理，不断提升科研成果质量</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鼓励教师申报高层次科研项目，撰写高层次科研成果，以科研促进教学。20</w:t>
      </w:r>
      <w:r>
        <w:rPr>
          <w:rFonts w:hint="eastAsia" w:ascii="仿宋_GB2312" w:hAnsi="仿宋" w:eastAsia="仿宋_GB2312"/>
          <w:color w:val="000000"/>
          <w:sz w:val="32"/>
          <w:szCs w:val="32"/>
          <w:lang w:val="en-US" w:eastAsia="zh-CN"/>
        </w:rPr>
        <w:t>20</w:t>
      </w:r>
      <w:r>
        <w:rPr>
          <w:rFonts w:hint="eastAsia" w:ascii="仿宋_GB2312" w:hAnsi="仿宋" w:eastAsia="仿宋_GB2312"/>
          <w:color w:val="000000"/>
          <w:sz w:val="32"/>
          <w:szCs w:val="32"/>
        </w:rPr>
        <w:t>年我院获批</w:t>
      </w:r>
      <w:r>
        <w:rPr>
          <w:rFonts w:hint="eastAsia" w:ascii="仿宋_GB2312" w:hAnsi="仿宋" w:eastAsia="仿宋_GB2312"/>
          <w:color w:val="000000"/>
          <w:sz w:val="32"/>
          <w:szCs w:val="32"/>
          <w:lang w:eastAsia="zh-CN"/>
        </w:rPr>
        <w:t>国家社科基金项目</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eastAsia="zh-CN"/>
        </w:rPr>
        <w:t>项、教育部人文社科项目</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lang w:eastAsia="zh-CN"/>
        </w:rPr>
        <w:t>项、省高校哲社基金重大项目</w:t>
      </w:r>
      <w:r>
        <w:rPr>
          <w:rFonts w:hint="eastAsia" w:ascii="仿宋_GB2312" w:hAnsi="仿宋" w:eastAsia="仿宋_GB2312"/>
          <w:color w:val="000000"/>
          <w:sz w:val="32"/>
          <w:szCs w:val="32"/>
          <w:lang w:val="en-US" w:eastAsia="zh-CN"/>
        </w:rPr>
        <w:t>2项</w:t>
      </w:r>
      <w:r>
        <w:rPr>
          <w:rFonts w:hint="eastAsia" w:ascii="仿宋_GB2312" w:hAnsi="仿宋" w:eastAsia="仿宋_GB2312"/>
          <w:color w:val="000000"/>
          <w:sz w:val="32"/>
          <w:szCs w:val="32"/>
          <w:lang w:eastAsia="zh-CN"/>
        </w:rPr>
        <w:t>，横向课题到账经费</w:t>
      </w:r>
      <w:r>
        <w:rPr>
          <w:rFonts w:hint="eastAsia" w:ascii="仿宋_GB2312" w:hAnsi="仿宋" w:eastAsia="仿宋_GB2312"/>
          <w:color w:val="000000"/>
          <w:sz w:val="32"/>
          <w:szCs w:val="32"/>
          <w:lang w:val="en-US" w:eastAsia="zh-CN"/>
        </w:rPr>
        <w:t>223万。</w:t>
      </w:r>
      <w:r>
        <w:rPr>
          <w:rFonts w:hint="eastAsia" w:ascii="仿宋_GB2312" w:hAnsi="仿宋" w:eastAsia="仿宋_GB2312"/>
          <w:color w:val="000000"/>
          <w:sz w:val="32"/>
          <w:szCs w:val="32"/>
        </w:rPr>
        <w:t>公开发表学术论文</w:t>
      </w:r>
      <w:r>
        <w:rPr>
          <w:rFonts w:hint="eastAsia" w:ascii="仿宋_GB2312" w:hAnsi="仿宋" w:eastAsia="仿宋_GB2312"/>
          <w:color w:val="000000"/>
          <w:sz w:val="32"/>
          <w:szCs w:val="32"/>
          <w:lang w:val="en-US" w:eastAsia="zh-CN"/>
        </w:rPr>
        <w:t>12</w:t>
      </w:r>
      <w:r>
        <w:rPr>
          <w:rFonts w:hint="eastAsia" w:ascii="仿宋_GB2312" w:hAnsi="仿宋" w:eastAsia="仿宋_GB2312"/>
          <w:color w:val="000000"/>
          <w:sz w:val="32"/>
          <w:szCs w:val="32"/>
        </w:rPr>
        <w:t>篇，</w:t>
      </w:r>
      <w:r>
        <w:rPr>
          <w:rFonts w:hint="eastAsia" w:ascii="仿宋_GB2312" w:hAnsi="仿宋" w:eastAsia="仿宋_GB2312"/>
          <w:color w:val="000000"/>
          <w:sz w:val="32"/>
          <w:szCs w:val="32"/>
          <w:lang w:eastAsia="zh-CN"/>
        </w:rPr>
        <w:t>其中</w:t>
      </w:r>
      <w:r>
        <w:rPr>
          <w:rFonts w:hint="eastAsia" w:ascii="仿宋_GB2312" w:hAnsi="仿宋" w:eastAsia="仿宋_GB2312"/>
          <w:color w:val="000000"/>
          <w:sz w:val="32"/>
          <w:szCs w:val="32"/>
        </w:rPr>
        <w:t>核心</w:t>
      </w:r>
      <w:r>
        <w:rPr>
          <w:rFonts w:hint="eastAsia" w:ascii="仿宋_GB2312" w:hAnsi="仿宋" w:eastAsia="仿宋_GB2312"/>
          <w:color w:val="000000"/>
          <w:sz w:val="32"/>
          <w:szCs w:val="32"/>
          <w:lang w:eastAsia="zh-CN"/>
        </w:rPr>
        <w:t>以上</w:t>
      </w: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rPr>
        <w:t>篇</w:t>
      </w:r>
      <w:r>
        <w:rPr>
          <w:rFonts w:hint="eastAsia" w:ascii="仿宋_GB2312" w:hAnsi="仿宋" w:eastAsia="仿宋_GB2312"/>
          <w:color w:val="000000"/>
          <w:sz w:val="32"/>
          <w:szCs w:val="32"/>
          <w:lang w:eastAsia="zh-CN"/>
        </w:rPr>
        <w:t>，出版权威出版社专著</w:t>
      </w:r>
      <w:r>
        <w:rPr>
          <w:rFonts w:hint="eastAsia" w:ascii="仿宋_GB2312" w:hAnsi="仿宋" w:eastAsia="仿宋_GB2312"/>
          <w:color w:val="000000"/>
          <w:sz w:val="32"/>
          <w:szCs w:val="32"/>
          <w:lang w:val="en-US" w:eastAsia="zh-CN"/>
        </w:rPr>
        <w:t>1部</w:t>
      </w:r>
      <w:r>
        <w:rPr>
          <w:rFonts w:hint="eastAsia" w:ascii="仿宋_GB2312" w:hAnsi="仿宋" w:eastAsia="仿宋_GB2312"/>
          <w:color w:val="000000"/>
          <w:sz w:val="32"/>
          <w:szCs w:val="32"/>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2.</w:t>
      </w:r>
      <w:r>
        <w:rPr>
          <w:rFonts w:hint="eastAsia" w:ascii="仿宋_GB2312" w:hAnsi="仿宋" w:eastAsia="仿宋_GB2312"/>
          <w:b/>
          <w:bCs/>
          <w:color w:val="000000"/>
          <w:sz w:val="32"/>
          <w:szCs w:val="32"/>
        </w:rPr>
        <w:t>聚焦学科建设重点，切实提高学科为社会服务能力</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color w:val="000000"/>
          <w:sz w:val="32"/>
          <w:szCs w:val="32"/>
        </w:rPr>
      </w:pPr>
      <w:r>
        <w:rPr>
          <w:rFonts w:hint="eastAsia" w:ascii="仿宋_GB2312" w:hAnsi="仿宋" w:eastAsia="仿宋_GB2312"/>
          <w:b/>
          <w:bCs/>
          <w:color w:val="000000"/>
          <w:sz w:val="32"/>
          <w:szCs w:val="32"/>
        </w:rPr>
        <w:t>加强人才引进，打造科研团队。</w:t>
      </w:r>
      <w:r>
        <w:rPr>
          <w:rFonts w:hint="eastAsia" w:ascii="仿宋_GB2312" w:hAnsi="仿宋" w:eastAsia="仿宋_GB2312"/>
          <w:color w:val="000000"/>
          <w:sz w:val="32"/>
          <w:szCs w:val="32"/>
        </w:rPr>
        <w:t>20</w:t>
      </w:r>
      <w:r>
        <w:rPr>
          <w:rFonts w:hint="eastAsia" w:ascii="仿宋_GB2312" w:hAnsi="仿宋" w:eastAsia="仿宋_GB2312"/>
          <w:color w:val="000000"/>
          <w:sz w:val="32"/>
          <w:szCs w:val="32"/>
          <w:lang w:val="en-US" w:eastAsia="zh-CN"/>
        </w:rPr>
        <w:t>20</w:t>
      </w:r>
      <w:r>
        <w:rPr>
          <w:rFonts w:hint="eastAsia" w:ascii="仿宋_GB2312" w:hAnsi="仿宋" w:eastAsia="仿宋_GB2312"/>
          <w:color w:val="000000"/>
          <w:sz w:val="32"/>
          <w:szCs w:val="32"/>
        </w:rPr>
        <w:t>年省重点建设学科基本形成中国特色社会主义民主政治理论与实践、马克思主义中国化研究、思想政治教育、中国近现代史基本问题研究、马克思主义法学等5个研究团队。学科组成员从五个方向开展科学研究，成果突出。20</w:t>
      </w:r>
      <w:r>
        <w:rPr>
          <w:rFonts w:hint="eastAsia" w:ascii="仿宋_GB2312" w:hAnsi="仿宋" w:eastAsia="仿宋_GB2312"/>
          <w:color w:val="000000"/>
          <w:sz w:val="32"/>
          <w:szCs w:val="32"/>
          <w:lang w:val="en-US" w:eastAsia="zh-CN"/>
        </w:rPr>
        <w:t>20</w:t>
      </w:r>
      <w:r>
        <w:rPr>
          <w:rFonts w:hint="eastAsia" w:ascii="仿宋_GB2312" w:hAnsi="仿宋" w:eastAsia="仿宋_GB2312"/>
          <w:color w:val="000000"/>
          <w:sz w:val="32"/>
          <w:szCs w:val="32"/>
        </w:rPr>
        <w:t>年获批国家社科基金项目</w:t>
      </w: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rPr>
        <w:t>项，省</w:t>
      </w:r>
      <w:r>
        <w:rPr>
          <w:rFonts w:hint="eastAsia" w:ascii="仿宋_GB2312" w:hAnsi="仿宋" w:eastAsia="仿宋_GB2312"/>
          <w:color w:val="000000"/>
          <w:sz w:val="32"/>
          <w:szCs w:val="32"/>
          <w:lang w:eastAsia="zh-CN"/>
        </w:rPr>
        <w:t>部级</w:t>
      </w:r>
      <w:r>
        <w:rPr>
          <w:rFonts w:hint="eastAsia" w:ascii="仿宋_GB2312" w:hAnsi="仿宋" w:eastAsia="仿宋_GB2312"/>
          <w:color w:val="000000"/>
          <w:sz w:val="32"/>
          <w:szCs w:val="32"/>
        </w:rPr>
        <w:t>项目</w:t>
      </w: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项</w:t>
      </w:r>
      <w:r>
        <w:rPr>
          <w:rFonts w:hint="eastAsia" w:ascii="仿宋_GB2312" w:hAnsi="仿宋" w:eastAsia="仿宋_GB2312"/>
          <w:color w:val="000000"/>
          <w:sz w:val="32"/>
          <w:szCs w:val="32"/>
          <w:lang w:eastAsia="zh-CN"/>
        </w:rPr>
        <w:t>，省长批示</w:t>
      </w:r>
      <w:r>
        <w:rPr>
          <w:rFonts w:hint="eastAsia" w:ascii="仿宋_GB2312" w:hAnsi="仿宋" w:eastAsia="仿宋_GB2312"/>
          <w:color w:val="000000"/>
          <w:sz w:val="32"/>
          <w:szCs w:val="32"/>
          <w:lang w:val="en-US" w:eastAsia="zh-CN"/>
        </w:rPr>
        <w:t>1项，</w:t>
      </w:r>
      <w:r>
        <w:rPr>
          <w:rFonts w:hint="eastAsia" w:ascii="仿宋_GB2312" w:hAnsi="仿宋" w:eastAsia="仿宋_GB2312"/>
          <w:color w:val="000000"/>
          <w:sz w:val="32"/>
          <w:szCs w:val="32"/>
        </w:rPr>
        <w:t>发表</w:t>
      </w:r>
      <w:r>
        <w:rPr>
          <w:rFonts w:hint="eastAsia" w:ascii="仿宋_GB2312" w:hAnsi="仿宋" w:eastAsia="仿宋_GB2312"/>
          <w:color w:val="000000"/>
          <w:sz w:val="32"/>
          <w:szCs w:val="32"/>
          <w:lang w:eastAsia="zh-CN"/>
        </w:rPr>
        <w:t>论文</w:t>
      </w:r>
      <w:r>
        <w:rPr>
          <w:rFonts w:hint="eastAsia" w:ascii="仿宋_GB2312" w:hAnsi="仿宋" w:eastAsia="仿宋_GB2312"/>
          <w:color w:val="000000"/>
          <w:sz w:val="32"/>
          <w:szCs w:val="32"/>
          <w:lang w:val="en-US" w:eastAsia="zh-CN"/>
        </w:rPr>
        <w:t>27</w:t>
      </w:r>
      <w:r>
        <w:rPr>
          <w:rFonts w:hint="eastAsia" w:ascii="仿宋_GB2312" w:hAnsi="仿宋" w:eastAsia="仿宋_GB2312"/>
          <w:color w:val="000000"/>
          <w:sz w:val="32"/>
          <w:szCs w:val="32"/>
        </w:rPr>
        <w:t>篇</w:t>
      </w:r>
      <w:r>
        <w:rPr>
          <w:rFonts w:hint="eastAsia" w:ascii="仿宋_GB2312" w:hAnsi="仿宋" w:eastAsia="仿宋_GB2312"/>
          <w:color w:val="000000"/>
          <w:sz w:val="32"/>
          <w:szCs w:val="32"/>
          <w:lang w:eastAsia="zh-CN"/>
        </w:rPr>
        <w:t>，其中</w:t>
      </w:r>
      <w:r>
        <w:rPr>
          <w:rFonts w:hint="eastAsia" w:ascii="仿宋_GB2312" w:hAnsi="仿宋" w:eastAsia="仿宋_GB2312"/>
          <w:color w:val="000000"/>
          <w:sz w:val="32"/>
          <w:szCs w:val="32"/>
          <w:lang w:val="en-US" w:eastAsia="zh-CN"/>
        </w:rPr>
        <w:t>CSSCI论文5篇，</w:t>
      </w:r>
      <w:r>
        <w:rPr>
          <w:rFonts w:hint="eastAsia" w:ascii="仿宋_GB2312" w:hAnsi="仿宋" w:eastAsia="仿宋_GB2312"/>
          <w:color w:val="000000"/>
          <w:sz w:val="32"/>
          <w:szCs w:val="32"/>
          <w:lang w:eastAsia="zh-CN"/>
        </w:rPr>
        <w:t>专著</w:t>
      </w:r>
      <w:r>
        <w:rPr>
          <w:rFonts w:hint="eastAsia" w:ascii="仿宋_GB2312" w:hAnsi="仿宋" w:eastAsia="仿宋_GB2312"/>
          <w:color w:val="000000"/>
          <w:sz w:val="32"/>
          <w:szCs w:val="32"/>
          <w:lang w:val="en-US" w:eastAsia="zh-CN"/>
        </w:rPr>
        <w:t>3部，其中权威2部</w:t>
      </w:r>
      <w:r>
        <w:rPr>
          <w:rFonts w:hint="eastAsia" w:ascii="仿宋_GB2312" w:hAnsi="仿宋"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color w:val="000000"/>
          <w:sz w:val="32"/>
          <w:szCs w:val="32"/>
        </w:rPr>
      </w:pPr>
      <w:r>
        <w:rPr>
          <w:rFonts w:hint="eastAsia" w:ascii="仿宋_GB2312" w:hAnsi="仿宋" w:eastAsia="仿宋_GB2312"/>
          <w:b/>
          <w:bCs/>
          <w:color w:val="000000"/>
          <w:sz w:val="32"/>
          <w:szCs w:val="32"/>
        </w:rPr>
        <w:t>加强学术交流，开阔教师学术视野。</w:t>
      </w:r>
      <w:r>
        <w:rPr>
          <w:rFonts w:hint="eastAsia" w:ascii="仿宋_GB2312" w:hAnsi="仿宋" w:eastAsia="仿宋_GB2312"/>
          <w:color w:val="000000"/>
          <w:sz w:val="32"/>
          <w:szCs w:val="32"/>
          <w:lang w:eastAsia="zh-CN"/>
        </w:rPr>
        <w:t>全年承办</w:t>
      </w:r>
      <w:r>
        <w:rPr>
          <w:rFonts w:hint="eastAsia" w:ascii="仿宋_GB2312" w:hAnsi="仿宋" w:eastAsia="仿宋_GB2312"/>
          <w:color w:val="000000"/>
          <w:sz w:val="32"/>
          <w:szCs w:val="32"/>
          <w:lang w:val="en-US" w:eastAsia="zh-CN"/>
        </w:rPr>
        <w:t>2次省内外高规格</w:t>
      </w:r>
      <w:r>
        <w:rPr>
          <w:rFonts w:hint="eastAsia" w:ascii="仿宋_GB2312" w:hAnsi="仿宋" w:eastAsia="仿宋_GB2312"/>
          <w:color w:val="000000"/>
          <w:sz w:val="32"/>
          <w:szCs w:val="32"/>
          <w:lang w:eastAsia="zh-CN"/>
        </w:rPr>
        <w:t>学术会议：江苏省</w:t>
      </w:r>
      <w:r>
        <w:rPr>
          <w:rFonts w:hint="eastAsia" w:ascii="仿宋_GB2312" w:hAnsi="仿宋" w:eastAsia="仿宋_GB2312"/>
          <w:color w:val="000000"/>
          <w:sz w:val="32"/>
          <w:szCs w:val="32"/>
        </w:rPr>
        <w:t>法学会法律史学研究会2020年会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关于深入学习习近平总书记关于思想政治理论课是落实立德树人根本任务的关键课程重要论述的座谈会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20</w:t>
      </w:r>
      <w:r>
        <w:rPr>
          <w:rFonts w:hint="eastAsia" w:ascii="仿宋_GB2312" w:hAnsi="仿宋" w:eastAsia="仿宋_GB2312"/>
          <w:color w:val="000000"/>
          <w:sz w:val="32"/>
          <w:szCs w:val="32"/>
          <w:lang w:val="en-US" w:eastAsia="zh-CN"/>
        </w:rPr>
        <w:t>20</w:t>
      </w:r>
      <w:r>
        <w:rPr>
          <w:rFonts w:hint="eastAsia" w:ascii="仿宋_GB2312" w:hAnsi="仿宋" w:eastAsia="仿宋_GB2312"/>
          <w:color w:val="000000"/>
          <w:sz w:val="32"/>
          <w:szCs w:val="32"/>
        </w:rPr>
        <w:t>年度先后邀请</w:t>
      </w:r>
      <w:r>
        <w:rPr>
          <w:rFonts w:hint="eastAsia" w:ascii="仿宋_GB2312" w:hAnsi="仿宋" w:eastAsia="仿宋_GB2312"/>
          <w:color w:val="000000"/>
          <w:sz w:val="32"/>
          <w:szCs w:val="32"/>
          <w:lang w:eastAsia="zh-CN"/>
        </w:rPr>
        <w:t>中国社科院周勤勤、东南大学袁久红、云南大学文传浩、南京师范大学王永贵、南京航空航天大学王岩、扬州大学刘诚</w:t>
      </w:r>
      <w:r>
        <w:rPr>
          <w:rFonts w:hint="eastAsia" w:ascii="仿宋_GB2312" w:hAnsi="仿宋" w:eastAsia="仿宋_GB2312"/>
          <w:color w:val="000000"/>
          <w:sz w:val="32"/>
          <w:szCs w:val="32"/>
        </w:rPr>
        <w:t>等</w:t>
      </w:r>
      <w:r>
        <w:rPr>
          <w:rFonts w:hint="eastAsia" w:ascii="仿宋_GB2312" w:hAnsi="仿宋" w:eastAsia="仿宋_GB2312"/>
          <w:color w:val="000000"/>
          <w:sz w:val="32"/>
          <w:szCs w:val="32"/>
          <w:lang w:val="en-US" w:eastAsia="zh-CN"/>
        </w:rPr>
        <w:t>8</w:t>
      </w:r>
      <w:r>
        <w:rPr>
          <w:rFonts w:hint="eastAsia" w:ascii="仿宋_GB2312" w:hAnsi="仿宋" w:eastAsia="仿宋_GB2312"/>
          <w:color w:val="000000"/>
          <w:sz w:val="32"/>
          <w:szCs w:val="32"/>
        </w:rPr>
        <w:t>位知名专家学者来校讲学和交流。</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color w:val="000000"/>
          <w:sz w:val="32"/>
          <w:szCs w:val="32"/>
        </w:rPr>
      </w:pPr>
      <w:r>
        <w:rPr>
          <w:rFonts w:hint="eastAsia" w:ascii="仿宋_GB2312" w:hAnsi="仿宋" w:eastAsia="仿宋_GB2312"/>
          <w:b/>
          <w:bCs/>
          <w:color w:val="000000"/>
          <w:sz w:val="32"/>
          <w:szCs w:val="32"/>
        </w:rPr>
        <w:t>坚持互利共赢，提升社会服务能力。</w:t>
      </w:r>
      <w:r>
        <w:rPr>
          <w:rFonts w:hint="eastAsia" w:ascii="仿宋_GB2312" w:hAnsi="仿宋" w:eastAsia="仿宋_GB2312"/>
          <w:color w:val="000000"/>
          <w:sz w:val="32"/>
          <w:szCs w:val="32"/>
        </w:rPr>
        <w:t>坚持我院在做好人才培养和学科建设的同时，在服务地方上也取得较大成绩。先后与市政府、市委宣传部、市扶贫办、市县内一些中小学签订合作协议，</w:t>
      </w:r>
      <w:r>
        <w:rPr>
          <w:rFonts w:hint="eastAsia" w:ascii="仿宋_GB2312" w:hAnsi="仿宋" w:eastAsia="仿宋_GB2312"/>
          <w:color w:val="000000"/>
          <w:sz w:val="32"/>
          <w:szCs w:val="32"/>
          <w:lang w:eastAsia="zh-CN"/>
        </w:rPr>
        <w:t>承担了盐城市镇街高质量</w:t>
      </w:r>
      <w:r>
        <w:rPr>
          <w:rFonts w:hint="eastAsia" w:ascii="仿宋_GB2312" w:hAnsi="仿宋" w:eastAsia="仿宋_GB2312"/>
          <w:color w:val="000000"/>
          <w:sz w:val="32"/>
          <w:szCs w:val="32"/>
        </w:rPr>
        <w:t>发展</w:t>
      </w:r>
      <w:r>
        <w:rPr>
          <w:rFonts w:hint="eastAsia" w:ascii="仿宋_GB2312" w:hAnsi="仿宋" w:eastAsia="仿宋_GB2312"/>
          <w:color w:val="000000"/>
          <w:sz w:val="32"/>
          <w:szCs w:val="32"/>
          <w:lang w:eastAsia="zh-CN"/>
        </w:rPr>
        <w:t>横向课题，为地区经济社会发展</w:t>
      </w:r>
      <w:r>
        <w:rPr>
          <w:rFonts w:hint="eastAsia" w:ascii="仿宋_GB2312" w:hAnsi="仿宋" w:eastAsia="仿宋_GB2312"/>
          <w:color w:val="000000"/>
          <w:sz w:val="32"/>
          <w:szCs w:val="32"/>
        </w:rPr>
        <w:t>提供智力服务。加强与地方基础教育的合作交流，完成</w:t>
      </w:r>
      <w:r>
        <w:rPr>
          <w:rFonts w:hint="eastAsia" w:ascii="仿宋_GB2312" w:hAnsi="仿宋" w:eastAsia="仿宋_GB2312"/>
          <w:color w:val="000000"/>
          <w:sz w:val="32"/>
          <w:szCs w:val="32"/>
          <w:lang w:eastAsia="zh-CN"/>
        </w:rPr>
        <w:t>国培项目</w:t>
      </w:r>
      <w:r>
        <w:rPr>
          <w:rFonts w:hint="eastAsia" w:ascii="仿宋_GB2312" w:hAnsi="仿宋" w:eastAsia="仿宋_GB2312"/>
          <w:color w:val="000000"/>
          <w:sz w:val="32"/>
          <w:szCs w:val="32"/>
          <w:lang w:val="en-US" w:eastAsia="zh-CN"/>
        </w:rPr>
        <w:t>2项，</w:t>
      </w:r>
      <w:r>
        <w:rPr>
          <w:rFonts w:hint="eastAsia" w:ascii="仿宋_GB2312" w:hAnsi="仿宋" w:eastAsia="仿宋_GB2312"/>
          <w:color w:val="000000"/>
          <w:sz w:val="32"/>
          <w:szCs w:val="32"/>
          <w:lang w:eastAsia="zh-CN"/>
        </w:rPr>
        <w:t>省培项目</w:t>
      </w:r>
      <w:r>
        <w:rPr>
          <w:rFonts w:hint="eastAsia" w:ascii="仿宋_GB2312" w:hAnsi="仿宋" w:eastAsia="仿宋_GB2312"/>
          <w:color w:val="000000"/>
          <w:sz w:val="32"/>
          <w:szCs w:val="32"/>
          <w:lang w:val="en-US" w:eastAsia="zh-CN"/>
        </w:rPr>
        <w:t>2项</w:t>
      </w:r>
      <w:r>
        <w:rPr>
          <w:rFonts w:hint="eastAsia" w:ascii="仿宋_GB2312" w:hAnsi="仿宋"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lang w:val="en-US" w:eastAsia="zh-CN"/>
        </w:rPr>
        <w:t>三</w:t>
      </w: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rPr>
        <w:t>学生工作</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1.</w:t>
      </w:r>
      <w:r>
        <w:rPr>
          <w:rFonts w:hint="eastAsia" w:ascii="仿宋_GB2312" w:hAnsi="仿宋" w:eastAsia="仿宋_GB2312"/>
          <w:b/>
          <w:bCs/>
          <w:color w:val="000000"/>
          <w:sz w:val="32"/>
          <w:szCs w:val="32"/>
        </w:rPr>
        <w:t>常规管理扎实推进，学习型组织建设初见成效</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我院</w:t>
      </w:r>
      <w:r>
        <w:rPr>
          <w:rFonts w:hint="eastAsia" w:ascii="仿宋_GB2312" w:hAnsi="仿宋" w:eastAsia="仿宋_GB2312"/>
          <w:color w:val="000000"/>
          <w:sz w:val="32"/>
          <w:szCs w:val="32"/>
          <w:lang w:val="en-US" w:eastAsia="zh-CN"/>
        </w:rPr>
        <w:t>领导班子</w:t>
      </w:r>
      <w:r>
        <w:rPr>
          <w:rFonts w:hint="eastAsia" w:ascii="仿宋_GB2312" w:hAnsi="仿宋" w:eastAsia="仿宋_GB2312"/>
          <w:color w:val="000000"/>
          <w:sz w:val="32"/>
          <w:szCs w:val="32"/>
        </w:rPr>
        <w:t>狠抓学生常规管理，上课出勤、宿舍管理、早操晚自习等工作做到有计划、有组织、有监管、有总结。在新生入学教育阶段，以生涯教育为抓手，紧密结合读书分享会，措施得当，工作扎实；常规检查中，我院注意发挥舍长、学生党员、学生干部的榜样带头作用，营造良好的秩序。我院12位兼职班主任中，博士教授比例达到75%，同时，做好家庭经济困难学生的帮扶工作，推进善合律师奖学金的发放，更大范围地资助困难学生。在心理健康教育方面，我们动态关注特殊学生，根据特殊学生管理档案，积极做好谈心谈话工作。</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目前我院学生学风浓厚，围绕专业方向，以教风带学风，学生自我鞭策，学习型组织的建设已取得一定的成效。</w:t>
      </w: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eastAsia="zh-CN"/>
        </w:rPr>
        <w:t>位班主任</w:t>
      </w:r>
      <w:r>
        <w:rPr>
          <w:rFonts w:hint="eastAsia" w:ascii="仿宋_GB2312" w:hAnsi="仿宋" w:eastAsia="仿宋_GB2312"/>
          <w:color w:val="000000"/>
          <w:sz w:val="32"/>
          <w:szCs w:val="32"/>
        </w:rPr>
        <w:t>被评为先进班主任，</w:t>
      </w:r>
      <w:r>
        <w:rPr>
          <w:rFonts w:hint="eastAsia" w:ascii="仿宋_GB2312" w:hAnsi="仿宋" w:eastAsia="仿宋_GB2312"/>
          <w:color w:val="000000"/>
          <w:sz w:val="32"/>
          <w:szCs w:val="32"/>
          <w:lang w:val="en-US" w:eastAsia="zh-CN"/>
        </w:rPr>
        <w:t>5个班级</w:t>
      </w:r>
      <w:r>
        <w:rPr>
          <w:rFonts w:hint="eastAsia" w:ascii="仿宋_GB2312" w:hAnsi="仿宋" w:eastAsia="仿宋_GB2312"/>
          <w:color w:val="000000"/>
          <w:sz w:val="32"/>
          <w:szCs w:val="32"/>
        </w:rPr>
        <w:t>班被评为先进班级。我院2</w:t>
      </w:r>
      <w:r>
        <w:rPr>
          <w:rFonts w:hint="eastAsia" w:ascii="仿宋_GB2312" w:hAnsi="仿宋" w:eastAsia="仿宋_GB2312"/>
          <w:color w:val="000000"/>
          <w:sz w:val="32"/>
          <w:szCs w:val="32"/>
          <w:lang w:eastAsia="zh-CN"/>
        </w:rPr>
        <w:t>名学生</w:t>
      </w:r>
      <w:r>
        <w:rPr>
          <w:rFonts w:hint="eastAsia" w:ascii="仿宋_GB2312" w:hAnsi="仿宋" w:eastAsia="仿宋_GB2312"/>
          <w:color w:val="000000"/>
          <w:sz w:val="32"/>
          <w:szCs w:val="32"/>
        </w:rPr>
        <w:t>获得国家奖学金，54</w:t>
      </w:r>
      <w:r>
        <w:rPr>
          <w:rFonts w:hint="eastAsia" w:ascii="仿宋_GB2312" w:hAnsi="仿宋" w:eastAsia="仿宋_GB2312"/>
          <w:color w:val="000000"/>
          <w:sz w:val="32"/>
          <w:szCs w:val="32"/>
          <w:lang w:eastAsia="zh-CN"/>
        </w:rPr>
        <w:t>名学生</w:t>
      </w:r>
      <w:r>
        <w:rPr>
          <w:rFonts w:hint="eastAsia" w:ascii="仿宋_GB2312" w:hAnsi="仿宋" w:eastAsia="仿宋_GB2312"/>
          <w:color w:val="000000"/>
          <w:sz w:val="32"/>
          <w:szCs w:val="32"/>
        </w:rPr>
        <w:t>获得国家励志奖学金，3</w:t>
      </w:r>
      <w:r>
        <w:rPr>
          <w:rFonts w:hint="eastAsia" w:ascii="仿宋_GB2312" w:hAnsi="仿宋" w:eastAsia="仿宋_GB2312"/>
          <w:color w:val="000000"/>
          <w:sz w:val="32"/>
          <w:szCs w:val="32"/>
          <w:lang w:eastAsia="zh-CN"/>
        </w:rPr>
        <w:t>名学生</w:t>
      </w:r>
      <w:r>
        <w:rPr>
          <w:rFonts w:hint="eastAsia" w:ascii="仿宋_GB2312" w:hAnsi="仿宋" w:eastAsia="仿宋_GB2312"/>
          <w:color w:val="000000"/>
          <w:sz w:val="32"/>
          <w:szCs w:val="32"/>
        </w:rPr>
        <w:t>获得伯黎奖学金，</w:t>
      </w:r>
      <w:r>
        <w:rPr>
          <w:rFonts w:hint="eastAsia" w:ascii="仿宋_GB2312" w:hAnsi="仿宋" w:eastAsia="仿宋_GB2312"/>
          <w:color w:val="000000"/>
          <w:sz w:val="32"/>
          <w:szCs w:val="32"/>
          <w:lang w:val="en-US" w:eastAsia="zh-CN"/>
        </w:rPr>
        <w:t>1名学生</w:t>
      </w:r>
      <w:r>
        <w:rPr>
          <w:rFonts w:hint="eastAsia" w:ascii="仿宋_GB2312" w:hAnsi="仿宋" w:eastAsia="仿宋_GB2312"/>
          <w:color w:val="000000"/>
          <w:sz w:val="32"/>
          <w:szCs w:val="32"/>
        </w:rPr>
        <w:t>获宁夏燕宝慈善基金会资助。</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2.</w:t>
      </w:r>
      <w:r>
        <w:rPr>
          <w:rFonts w:hint="eastAsia" w:ascii="仿宋_GB2312" w:hAnsi="仿宋" w:eastAsia="仿宋_GB2312"/>
          <w:b/>
          <w:bCs/>
          <w:color w:val="000000"/>
          <w:sz w:val="32"/>
          <w:szCs w:val="32"/>
        </w:rPr>
        <w:t>以提升和拓展大学生素质能力为目标，共青团工作强品牌呈特色</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我院围绕“时代新人”的人才培养目标，积极推进基层团组织建设。一年来，不断强化思想引领，将学习习近平新时代中国特色社会主义思想与学习王强精神结合，突出育人工作的校本特色。不断强化阵地建设，形成线上线下融通的青年马克思主义者培养模式。不断凝练工作品牌，我院目前已形成大学生理论宣讲团、红色故事讲解团、马克思主义青年说、大学生特色理论研究会、青年读书会、法律援助盐阜行六大实践品牌，社会实践形式不断创新，志愿服务活动蔚然成风，社团活动异彩纷呈。今年930公祭日，铁军班红色故事讲解团向盐城市委领导、烈士家属、中小学生宣讲铁军故事，大学生理论宣讲团创新宣讲模式，线上线下结合，先后以抗疫主题、两会、五四精神、爱国主义、十九届五中全会为主题开展宣讲253场次，今年11月，我院代表队荣获江苏省知识产权知识竞赛第二名，优秀组织奖，李叶青老师获优秀指导教师。今年12月，我院获得学校首届“铁军杯”辩论赛冠军。学院获得校“暑期社会实践工作先进集体”。</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3" w:firstLineChars="200"/>
        <w:jc w:val="both"/>
        <w:textAlignment w:val="auto"/>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lang w:val="en-US" w:eastAsia="zh-CN"/>
        </w:rPr>
        <w:t>3.</w:t>
      </w:r>
      <w:r>
        <w:rPr>
          <w:rFonts w:hint="eastAsia" w:ascii="仿宋_GB2312" w:hAnsi="仿宋" w:eastAsia="仿宋_GB2312"/>
          <w:b/>
          <w:bCs/>
          <w:color w:val="000000"/>
          <w:sz w:val="32"/>
          <w:szCs w:val="32"/>
        </w:rPr>
        <w:t>以就业指导、就业服务为抓手，就业率、就业质量双提升</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我院重视生涯教育工作，筹划落实"双导师"制度,即每位新生由一名专业教师和一位高年级同学学长共同进行学业指导、生活帮助、心理关怀，做到生活问题早解决、心理问题早发现、就业工作早准备、早谋划、早落实。一年来，我院扎实有效地做好了技能训练、考研指导、考公辅导，司考交流等工作，我院获得2020年学校“就创业知识竞赛先进集体”。2020届216名毕业生中，思想政治教育专业考编通过率为65.75%，19名学生考取华中科技大学、河海大学、上海师范大学、扬州大学等高校的硕士研究生，公务员录取4人，出国1人。</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一年来，学院通过学校官网、学院官网、各类公众微信号、新浪微博、官方抖音号四大宣传平台，及时发布学院新闻764篇，总分享次数达2442次，其中，《20级新生军训特辑》最高阅读量达到683次；新浪微博推送64篇；抖音上传7个视频集锦，编辑工作简报15篇。</w:t>
      </w:r>
    </w:p>
    <w:p>
      <w:pPr>
        <w:keepNext w:val="0"/>
        <w:keepLines w:val="0"/>
        <w:pageBreakBefore w:val="0"/>
        <w:widowControl/>
        <w:kinsoku/>
        <w:wordWrap/>
        <w:overflowPunct/>
        <w:topLinePunct w:val="0"/>
        <w:autoSpaceDE/>
        <w:autoSpaceDN/>
        <w:bidi w:val="0"/>
        <w:adjustRightInd w:val="0"/>
        <w:snapToGrid w:val="0"/>
        <w:spacing w:line="500" w:lineRule="exact"/>
        <w:ind w:right="-198" w:rightChars="-90" w:firstLine="640" w:firstLineChars="200"/>
        <w:jc w:val="both"/>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此外，团学活动受国家、省市级媒体关注，极大扩大了学院影响：“宣讲红色文化 践行铁军精神”“雏燕云课堂”“盐城市镇街高质量发展排行榜发布”“谈心谈话”等活动受到了人民日报、新华网、学习强国、交点汇新闻、中国青年报等媒体报道46次。</w:t>
      </w:r>
    </w:p>
    <w:p>
      <w:pPr>
        <w:keepNext w:val="0"/>
        <w:keepLines w:val="0"/>
        <w:pageBreakBefore w:val="0"/>
        <w:widowControl/>
        <w:numPr>
          <w:ilvl w:val="0"/>
          <w:numId w:val="1"/>
        </w:numPr>
        <w:kinsoku/>
        <w:wordWrap/>
        <w:overflowPunct/>
        <w:topLinePunct w:val="0"/>
        <w:autoSpaceDE/>
        <w:autoSpaceDN/>
        <w:bidi w:val="0"/>
        <w:adjustRightInd w:val="0"/>
        <w:snapToGrid w:val="0"/>
        <w:spacing w:line="500" w:lineRule="exact"/>
        <w:ind w:right="-198" w:rightChars="-90" w:firstLine="643" w:firstLineChars="200"/>
        <w:textAlignment w:val="auto"/>
        <w:rPr>
          <w:rFonts w:hint="default"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val="en-US" w:eastAsia="zh-CN"/>
        </w:rPr>
        <w:t>坚持廉洁自律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24"/>
          <w:szCs w:val="24"/>
          <w:lang w:val="en-US" w:eastAsia="zh-CN"/>
        </w:rPr>
      </w:pPr>
      <w:r>
        <w:rPr>
          <w:rFonts w:hint="eastAsia" w:ascii="仿宋_GB2312" w:hAnsi="仿宋" w:eastAsia="仿宋_GB2312"/>
          <w:color w:val="000000"/>
          <w:sz w:val="32"/>
          <w:szCs w:val="32"/>
          <w:lang w:val="en-US" w:eastAsia="zh-CN"/>
        </w:rPr>
        <w:t>学院领导班子自觉贯彻中央八项规定和省委十项规定精神，反对和纠正形式主义、官僚主义。认真执行学校党委决议决定，坚持落实请示报告制度。严格执行廉洁自律准则，讲真话、办实事，不推诿、不推拉，注重家庭、家教、家风。牢记宗旨意识，坚持管理就是服务理念，深刻检视剖析做到自重、自警、自省、自励，始终保持共产党员的高尚品格和廉洁操守。</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textAlignment w:val="auto"/>
        <w:rPr>
          <w:rFonts w:ascii="仿宋_GB2312" w:hAnsi="宋体" w:eastAsia="仿宋_GB2312" w:cs="仿宋_GB2312"/>
          <w:i w:val="0"/>
          <w:caps w:val="0"/>
          <w:color w:val="000000"/>
          <w:spacing w:val="0"/>
          <w:sz w:val="32"/>
          <w:szCs w:val="32"/>
        </w:rPr>
      </w:pPr>
      <w:r>
        <w:rPr>
          <w:rFonts w:ascii="仿宋_GB2312" w:hAnsi="宋体" w:eastAsia="仿宋_GB2312" w:cs="仿宋_GB2312"/>
          <w:i w:val="0"/>
          <w:caps w:val="0"/>
          <w:color w:val="000000"/>
          <w:spacing w:val="0"/>
          <w:sz w:val="32"/>
          <w:szCs w:val="32"/>
        </w:rPr>
        <w:t>一年来，</w:t>
      </w:r>
      <w:r>
        <w:rPr>
          <w:rFonts w:hint="eastAsia" w:ascii="仿宋_GB2312" w:hAnsi="宋体" w:eastAsia="仿宋_GB2312" w:cs="仿宋_GB2312"/>
          <w:i w:val="0"/>
          <w:caps w:val="0"/>
          <w:color w:val="000000"/>
          <w:spacing w:val="0"/>
          <w:sz w:val="32"/>
          <w:szCs w:val="32"/>
          <w:lang w:val="en-US" w:eastAsia="zh-CN"/>
        </w:rPr>
        <w:t>学院</w:t>
      </w:r>
      <w:r>
        <w:rPr>
          <w:rFonts w:ascii="仿宋_GB2312" w:hAnsi="宋体" w:eastAsia="仿宋_GB2312" w:cs="仿宋_GB2312"/>
          <w:i w:val="0"/>
          <w:caps w:val="0"/>
          <w:color w:val="000000"/>
          <w:spacing w:val="0"/>
          <w:sz w:val="32"/>
          <w:szCs w:val="32"/>
        </w:rPr>
        <w:t>领导班子带领全体师生团结奋进，各项事业取得了长足的进展。新时代赋予了我们新的使命，我们必须以更加拼搏的精神、更加健全的制度、更加有力的措施，</w:t>
      </w:r>
      <w:r>
        <w:rPr>
          <w:rFonts w:hint="eastAsia" w:ascii="仿宋_GB2312" w:hAnsi="宋体" w:eastAsia="仿宋_GB2312" w:cs="仿宋_GB2312"/>
          <w:i w:val="0"/>
          <w:caps w:val="0"/>
          <w:color w:val="000000"/>
          <w:spacing w:val="0"/>
          <w:sz w:val="32"/>
          <w:szCs w:val="32"/>
          <w:lang w:val="en-US" w:eastAsia="zh-CN"/>
        </w:rPr>
        <w:t>聚焦立德树人、聚力改革创新，为推进学院事业高质量发展而努力奋斗</w:t>
      </w:r>
      <w:r>
        <w:rPr>
          <w:rFonts w:ascii="仿宋_GB2312" w:hAnsi="宋体" w:eastAsia="仿宋_GB2312" w:cs="仿宋_GB2312"/>
          <w:i w:val="0"/>
          <w:caps w:val="0"/>
          <w:color w:val="000000"/>
          <w:spacing w:val="0"/>
          <w:sz w:val="32"/>
          <w:szCs w:val="32"/>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textAlignment w:val="auto"/>
        <w:rPr>
          <w:rFonts w:ascii="仿宋_GB2312" w:hAnsi="宋体" w:eastAsia="仿宋_GB2312" w:cs="仿宋_GB2312"/>
          <w:i w:val="0"/>
          <w:caps w:val="0"/>
          <w:color w:val="000000"/>
          <w:spacing w:val="0"/>
          <w:sz w:val="32"/>
          <w:szCs w:val="32"/>
        </w:rPr>
      </w:pP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textAlignment w:val="auto"/>
        <w:rPr>
          <w:rFonts w:ascii="仿宋_GB2312" w:hAnsi="宋体" w:eastAsia="仿宋_GB2312" w:cs="仿宋_GB2312"/>
          <w:i w:val="0"/>
          <w:caps w:val="0"/>
          <w:color w:val="000000"/>
          <w:spacing w:val="0"/>
          <w:sz w:val="32"/>
          <w:szCs w:val="32"/>
        </w:rPr>
      </w:pP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080" w:firstLineChars="1900"/>
        <w:jc w:val="right"/>
        <w:textAlignment w:val="auto"/>
        <w:rPr>
          <w:rFonts w:hint="default" w:ascii="仿宋_GB2312" w:hAnsi="宋体" w:eastAsia="仿宋_GB2312" w:cs="仿宋_GB2312"/>
          <w:i w:val="0"/>
          <w:caps w:val="0"/>
          <w:color w:val="000000"/>
          <w:spacing w:val="0"/>
          <w:sz w:val="32"/>
          <w:szCs w:val="32"/>
          <w:lang w:val="en-US" w:eastAsia="zh-CN"/>
        </w:rPr>
      </w:pPr>
      <w:r>
        <w:rPr>
          <w:rFonts w:hint="eastAsia" w:ascii="仿宋_GB2312" w:hAnsi="宋体" w:eastAsia="仿宋_GB2312" w:cs="仿宋_GB2312"/>
          <w:i w:val="0"/>
          <w:caps w:val="0"/>
          <w:color w:val="000000"/>
          <w:spacing w:val="0"/>
          <w:sz w:val="32"/>
          <w:szCs w:val="32"/>
          <w:lang w:val="en-US" w:eastAsia="zh-CN"/>
        </w:rPr>
        <w:t>法政学院党总支</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right="-198" w:rightChars="-90" w:firstLine="640" w:firstLineChars="200"/>
        <w:jc w:val="right"/>
        <w:textAlignment w:val="auto"/>
        <w:rPr>
          <w:rFonts w:hint="default" w:ascii="仿宋_GB2312" w:hAnsi="宋体" w:eastAsia="仿宋_GB2312" w:cs="仿宋_GB2312"/>
          <w:i w:val="0"/>
          <w:caps w:val="0"/>
          <w:color w:val="000000"/>
          <w:spacing w:val="0"/>
          <w:sz w:val="32"/>
          <w:szCs w:val="32"/>
          <w:lang w:val="en-US" w:eastAsia="zh-CN"/>
        </w:rPr>
      </w:pPr>
      <w:r>
        <w:rPr>
          <w:rFonts w:hint="eastAsia" w:ascii="仿宋_GB2312" w:hAnsi="宋体" w:eastAsia="仿宋_GB2312" w:cs="仿宋_GB2312"/>
          <w:i w:val="0"/>
          <w:caps w:val="0"/>
          <w:color w:val="000000"/>
          <w:spacing w:val="0"/>
          <w:sz w:val="32"/>
          <w:szCs w:val="32"/>
          <w:lang w:val="en-US" w:eastAsia="zh-CN"/>
        </w:rPr>
        <w:t>2020年12月27日</w:t>
      </w:r>
    </w:p>
    <w:sectPr>
      <w:footerReference r:id="rId3" w:type="default"/>
      <w:pgSz w:w="11906" w:h="16838"/>
      <w:pgMar w:top="1440" w:right="1746" w:bottom="1440" w:left="1800" w:header="708" w:footer="708" w:gutter="0"/>
      <w:pgNumType w:fmt="numberInDash"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2187865"/>
      <w:docPartObj>
        <w:docPartGallery w:val="autotext"/>
      </w:docPartObj>
    </w:sdtPr>
    <w:sdtContent>
      <w:p>
        <w:pPr>
          <w:pStyle w:val="3"/>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4014C3"/>
    <w:multiLevelType w:val="singleLevel"/>
    <w:tmpl w:val="904014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01E0F"/>
    <w:rsid w:val="00013F6C"/>
    <w:rsid w:val="000B1BE4"/>
    <w:rsid w:val="000D1088"/>
    <w:rsid w:val="000D717D"/>
    <w:rsid w:val="0010276A"/>
    <w:rsid w:val="0012679B"/>
    <w:rsid w:val="00127E1D"/>
    <w:rsid w:val="001526DA"/>
    <w:rsid w:val="00164956"/>
    <w:rsid w:val="001B215F"/>
    <w:rsid w:val="001C3FF8"/>
    <w:rsid w:val="002105A1"/>
    <w:rsid w:val="00216632"/>
    <w:rsid w:val="002216AD"/>
    <w:rsid w:val="0024546E"/>
    <w:rsid w:val="002A54E5"/>
    <w:rsid w:val="002B126E"/>
    <w:rsid w:val="002C1E0C"/>
    <w:rsid w:val="002D195E"/>
    <w:rsid w:val="002E772E"/>
    <w:rsid w:val="0030044D"/>
    <w:rsid w:val="00316F80"/>
    <w:rsid w:val="00323B43"/>
    <w:rsid w:val="003308EE"/>
    <w:rsid w:val="0036207C"/>
    <w:rsid w:val="00374C0E"/>
    <w:rsid w:val="003810C4"/>
    <w:rsid w:val="003B7C40"/>
    <w:rsid w:val="003D3015"/>
    <w:rsid w:val="003D37D8"/>
    <w:rsid w:val="003D7189"/>
    <w:rsid w:val="00426133"/>
    <w:rsid w:val="004358AB"/>
    <w:rsid w:val="004646B5"/>
    <w:rsid w:val="00470BDC"/>
    <w:rsid w:val="004818BB"/>
    <w:rsid w:val="004B4522"/>
    <w:rsid w:val="004B6CA5"/>
    <w:rsid w:val="004F7057"/>
    <w:rsid w:val="00502EA2"/>
    <w:rsid w:val="005139D6"/>
    <w:rsid w:val="0052785A"/>
    <w:rsid w:val="0056233C"/>
    <w:rsid w:val="00573BF8"/>
    <w:rsid w:val="005916BF"/>
    <w:rsid w:val="005B1DA2"/>
    <w:rsid w:val="005B4C69"/>
    <w:rsid w:val="005D4F9E"/>
    <w:rsid w:val="005D6C06"/>
    <w:rsid w:val="005F4725"/>
    <w:rsid w:val="00615B7E"/>
    <w:rsid w:val="006213F7"/>
    <w:rsid w:val="00643673"/>
    <w:rsid w:val="00653655"/>
    <w:rsid w:val="006E14B6"/>
    <w:rsid w:val="00723E61"/>
    <w:rsid w:val="00734CA0"/>
    <w:rsid w:val="0073726B"/>
    <w:rsid w:val="007916EF"/>
    <w:rsid w:val="0079425B"/>
    <w:rsid w:val="00794539"/>
    <w:rsid w:val="007B136D"/>
    <w:rsid w:val="00802122"/>
    <w:rsid w:val="00823D9B"/>
    <w:rsid w:val="0084543F"/>
    <w:rsid w:val="00867685"/>
    <w:rsid w:val="00895FAD"/>
    <w:rsid w:val="008B7726"/>
    <w:rsid w:val="008E1C9D"/>
    <w:rsid w:val="008E6886"/>
    <w:rsid w:val="008F3720"/>
    <w:rsid w:val="008F799F"/>
    <w:rsid w:val="00934F8D"/>
    <w:rsid w:val="00975659"/>
    <w:rsid w:val="00983CA2"/>
    <w:rsid w:val="009A18EB"/>
    <w:rsid w:val="009A614D"/>
    <w:rsid w:val="009A66D3"/>
    <w:rsid w:val="009C4E17"/>
    <w:rsid w:val="00A24000"/>
    <w:rsid w:val="00A532A9"/>
    <w:rsid w:val="00A6162C"/>
    <w:rsid w:val="00A70963"/>
    <w:rsid w:val="00A7425E"/>
    <w:rsid w:val="00AD2D11"/>
    <w:rsid w:val="00AF453D"/>
    <w:rsid w:val="00B31422"/>
    <w:rsid w:val="00B44AFB"/>
    <w:rsid w:val="00B52647"/>
    <w:rsid w:val="00B907F2"/>
    <w:rsid w:val="00B912C4"/>
    <w:rsid w:val="00BC13C5"/>
    <w:rsid w:val="00BD477F"/>
    <w:rsid w:val="00BE4117"/>
    <w:rsid w:val="00C03436"/>
    <w:rsid w:val="00C1644A"/>
    <w:rsid w:val="00C17D0D"/>
    <w:rsid w:val="00C901D4"/>
    <w:rsid w:val="00CA3542"/>
    <w:rsid w:val="00CF2363"/>
    <w:rsid w:val="00D063D3"/>
    <w:rsid w:val="00D21F2D"/>
    <w:rsid w:val="00D31D50"/>
    <w:rsid w:val="00D72309"/>
    <w:rsid w:val="00D94479"/>
    <w:rsid w:val="00DD54DE"/>
    <w:rsid w:val="00DF1753"/>
    <w:rsid w:val="00E01CE7"/>
    <w:rsid w:val="00E37DD1"/>
    <w:rsid w:val="00EA5678"/>
    <w:rsid w:val="00F17E9D"/>
    <w:rsid w:val="00F240DD"/>
    <w:rsid w:val="00F26865"/>
    <w:rsid w:val="00F36411"/>
    <w:rsid w:val="00FA6F78"/>
    <w:rsid w:val="02272D7B"/>
    <w:rsid w:val="08475F6C"/>
    <w:rsid w:val="094F25C6"/>
    <w:rsid w:val="09E33CCF"/>
    <w:rsid w:val="0CE9176F"/>
    <w:rsid w:val="0F351675"/>
    <w:rsid w:val="106560AB"/>
    <w:rsid w:val="16914623"/>
    <w:rsid w:val="17121E0D"/>
    <w:rsid w:val="17420DA3"/>
    <w:rsid w:val="1A864536"/>
    <w:rsid w:val="2A7A0AE0"/>
    <w:rsid w:val="2DF163BF"/>
    <w:rsid w:val="347D79B4"/>
    <w:rsid w:val="351870B4"/>
    <w:rsid w:val="3B907D47"/>
    <w:rsid w:val="3C4547BB"/>
    <w:rsid w:val="405D62E3"/>
    <w:rsid w:val="42623E6A"/>
    <w:rsid w:val="47A03C6C"/>
    <w:rsid w:val="49B13D74"/>
    <w:rsid w:val="4F02601F"/>
    <w:rsid w:val="532A11C5"/>
    <w:rsid w:val="53DA49B6"/>
    <w:rsid w:val="57CA11BF"/>
    <w:rsid w:val="5A1F1D35"/>
    <w:rsid w:val="5E71550A"/>
    <w:rsid w:val="60C20950"/>
    <w:rsid w:val="67E73C23"/>
    <w:rsid w:val="68371509"/>
    <w:rsid w:val="6A0B7529"/>
    <w:rsid w:val="713C7D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rPr>
  </w:style>
  <w:style w:type="character" w:customStyle="1" w:styleId="10">
    <w:name w:val="页眉 Char"/>
    <w:basedOn w:val="8"/>
    <w:link w:val="4"/>
    <w:qFormat/>
    <w:uiPriority w:val="99"/>
    <w:rPr>
      <w:rFonts w:ascii="Tahoma" w:hAnsi="Tahoma"/>
      <w:sz w:val="18"/>
      <w:szCs w:val="18"/>
    </w:rPr>
  </w:style>
  <w:style w:type="character" w:customStyle="1" w:styleId="11">
    <w:name w:val="页脚 Char"/>
    <w:basedOn w:val="8"/>
    <w:link w:val="3"/>
    <w:qFormat/>
    <w:uiPriority w:val="99"/>
    <w:rPr>
      <w:rFonts w:ascii="Tahoma" w:hAnsi="Tahoma"/>
      <w:sz w:val="18"/>
      <w:szCs w:val="18"/>
    </w:rPr>
  </w:style>
  <w:style w:type="character" w:customStyle="1" w:styleId="12">
    <w:name w:val="批注框文本 Char"/>
    <w:basedOn w:val="8"/>
    <w:link w:val="2"/>
    <w:semiHidden/>
    <w:qFormat/>
    <w:uiPriority w:val="99"/>
    <w:rPr>
      <w:rFonts w:ascii="Tahoma" w:hAnsi="Tahoma"/>
      <w:sz w:val="18"/>
      <w:szCs w:val="18"/>
    </w:rPr>
  </w:style>
  <w:style w:type="paragraph" w:styleId="13">
    <w:name w:val="List Paragraph"/>
    <w:basedOn w:val="1"/>
    <w:qFormat/>
    <w:uiPriority w:val="99"/>
    <w:pPr>
      <w:widowControl w:val="0"/>
      <w:adjustRightInd/>
      <w:snapToGrid/>
      <w:spacing w:after="0"/>
      <w:ind w:firstLine="420" w:firstLineChars="200"/>
      <w:jc w:val="both"/>
    </w:pPr>
    <w:rPr>
      <w:rFonts w:asciiTheme="minorHAnsi" w:hAnsiTheme="minorHAnsi" w:eastAsiaTheme="minorEastAsia"/>
      <w:kern w:val="2"/>
      <w:sz w:val="21"/>
      <w:szCs w:val="21"/>
    </w:rPr>
  </w:style>
  <w:style w:type="paragraph" w:customStyle="1" w:styleId="14">
    <w:name w:val="Default"/>
    <w:qFormat/>
    <w:uiPriority w:val="0"/>
    <w:pPr>
      <w:widowControl w:val="0"/>
      <w:autoSpaceDE w:val="0"/>
      <w:autoSpaceDN w:val="0"/>
      <w:adjustRightInd w:val="0"/>
      <w:spacing w:after="0" w:line="240" w:lineRule="auto"/>
    </w:pPr>
    <w:rPr>
      <w:rFonts w:ascii="仿宋" w:eastAsia="仿宋" w:cs="仿宋"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75D7E-75D7-4167-A2E0-79D8AD68F77C}">
  <ds:schemaRefs/>
</ds:datastoreItem>
</file>

<file path=docProps/app.xml><?xml version="1.0" encoding="utf-8"?>
<Properties xmlns="http://schemas.openxmlformats.org/officeDocument/2006/extended-properties" xmlns:vt="http://schemas.openxmlformats.org/officeDocument/2006/docPropsVTypes">
  <Template>Normal</Template>
  <Pages>12</Pages>
  <Words>3785</Words>
  <Characters>3900</Characters>
  <Lines>195</Lines>
  <Paragraphs>84</Paragraphs>
  <TotalTime>0</TotalTime>
  <ScaleCrop>false</ScaleCrop>
  <LinksUpToDate>false</LinksUpToDate>
  <CharactersWithSpaces>7601</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2019-01-02T09:30:00Z</dcterms:created>
  <dc:creator>Administrator</dc:creator>
  <cp:lastModifiedBy>婷婷</cp:lastModifiedBy>
  <cp:lastPrinted>2018-12-29T03:04:00Z</cp:lastPrinted>
  <dcterms:modified xsi:type="dcterms:W3CDTF">2020-12-28T01:38:52Z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