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keepNext w:val="false"/>
        <w:keepLines w:val="false"/>
        <w:pageBreakBefore w:val="false"/>
        <w:kinsoku/>
        <w:wordWrap/>
        <w:overflowPunct/>
        <w:topLinePunct w:val="false"/>
        <w:autoSpaceDE/>
        <w:autoSpaceDN/>
        <w:bidi w:val="false"/>
        <w:adjustRightInd/>
        <w:snapToGrid/>
        <w:spacing w:lineRule="exact" w:line="560"/>
        <w:jc w:val="center"/>
        <w:textAlignment w:val="auto"/>
        <w:rPr>
          <w:rFonts w:ascii="方正小标宋简体" w:cs="黑体" w:eastAsia="方正小标宋简体" w:hAnsi="黑体"/>
          <w:bCs/>
          <w:sz w:val="36"/>
          <w:szCs w:val="36"/>
        </w:rPr>
      </w:pPr>
      <w:r>
        <w:rPr>
          <w:rFonts w:ascii="方正小标宋简体" w:cs="黑体" w:eastAsia="方正小标宋简体" w:hAnsi="黑体" w:hint="eastAsia"/>
          <w:bCs/>
          <w:sz w:val="36"/>
          <w:szCs w:val="36"/>
          <w:lang w:val="en-US" w:eastAsia="zh-CN"/>
        </w:rPr>
        <w:t>任期</w:t>
      </w:r>
      <w:r>
        <w:rPr>
          <w:rFonts w:ascii="方正小标宋简体" w:cs="黑体" w:eastAsia="方正小标宋简体" w:hAnsi="黑体"/>
          <w:bCs/>
          <w:sz w:val="36"/>
          <w:szCs w:val="36"/>
        </w:rPr>
        <w:t>工作总结</w:t>
      </w:r>
    </w:p>
    <w:p>
      <w:pPr>
        <w:pStyle w:val="style0"/>
        <w:keepNext w:val="false"/>
        <w:keepLines w:val="false"/>
        <w:pageBreakBefore w:val="false"/>
        <w:kinsoku/>
        <w:wordWrap/>
        <w:overflowPunct/>
        <w:topLinePunct w:val="false"/>
        <w:autoSpaceDE/>
        <w:autoSpaceDN/>
        <w:bidi w:val="false"/>
        <w:adjustRightInd/>
        <w:snapToGrid/>
        <w:spacing w:lineRule="exact" w:line="560"/>
        <w:jc w:val="center"/>
        <w:textAlignment w:val="auto"/>
        <w:rPr>
          <w:rFonts w:ascii="楷体" w:cs="楷体" w:eastAsia="楷体" w:hAnsi="楷体" w:hint="eastAsia"/>
          <w:kern w:val="0"/>
          <w:sz w:val="32"/>
          <w:szCs w:val="32"/>
          <w:lang w:eastAsia="zh-CN"/>
        </w:rPr>
      </w:pPr>
      <w:r>
        <w:rPr>
          <w:rFonts w:ascii="楷体" w:cs="楷体" w:eastAsia="楷体" w:hAnsi="楷体" w:hint="eastAsia"/>
          <w:kern w:val="0"/>
          <w:sz w:val="32"/>
          <w:szCs w:val="32"/>
          <w:lang w:eastAsia="zh-CN"/>
        </w:rPr>
        <w:t>物理与电子工程学院</w:t>
      </w:r>
      <w:r>
        <w:rPr>
          <w:rFonts w:ascii="楷体" w:cs="楷体" w:eastAsia="楷体" w:hAnsi="楷体" w:hint="eastAsia"/>
          <w:kern w:val="0"/>
          <w:sz w:val="32"/>
          <w:szCs w:val="32"/>
          <w:lang w:val="en-US" w:eastAsia="zh-CN"/>
        </w:rPr>
        <w:t xml:space="preserve">党总支副书记、副院长 </w:t>
      </w:r>
      <w:r>
        <w:rPr>
          <w:rFonts w:ascii="楷体" w:cs="楷体" w:eastAsia="楷体" w:hAnsi="楷体" w:hint="eastAsia"/>
          <w:kern w:val="0"/>
          <w:sz w:val="32"/>
          <w:szCs w:val="32"/>
          <w:lang w:eastAsia="zh-CN"/>
        </w:rPr>
        <w:t>李霞</w:t>
      </w:r>
    </w:p>
    <w:p>
      <w:pPr>
        <w:pStyle w:val="style0"/>
        <w:keepNext w:val="false"/>
        <w:keepLines w:val="false"/>
        <w:pageBreakBefore w:val="false"/>
        <w:kinsoku/>
        <w:wordWrap/>
        <w:overflowPunct/>
        <w:topLinePunct w:val="false"/>
        <w:autoSpaceDE/>
        <w:autoSpaceDN/>
        <w:bidi w:val="false"/>
        <w:adjustRightInd/>
        <w:snapToGrid/>
        <w:spacing w:lineRule="exact" w:line="560"/>
        <w:jc w:val="center"/>
        <w:textAlignment w:val="auto"/>
        <w:rPr>
          <w:rFonts w:ascii="楷体" w:cs="楷体" w:eastAsia="楷体" w:hAnsi="楷体" w:hint="eastAsia"/>
          <w:kern w:val="0"/>
          <w:sz w:val="32"/>
          <w:szCs w:val="32"/>
          <w:lang w:eastAsia="zh-CN"/>
        </w:rPr>
      </w:pP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2019年下半年，我服从学校党委的安排，担任物理与电子工程学院党总支副书记、副院长，主要分管宣传、学生思想政治教育、招生就业、纪检、关工委等工作，任职以来，我始终以优秀党员干部的标准严格要求自己，以“德、能、勤、绩、廉”为尺度，不忘初心，牢记自己所肩负的学生管理重任，清正廉洁，敢于担当，甘于奉献，顺利完成各项工作，现将个人工作</w:t>
      </w:r>
      <w:r>
        <w:rPr>
          <w:rFonts w:ascii="仿宋_GB2312" w:cs="仿宋_GB2312" w:eastAsia="仿宋_GB2312" w:hAnsi="宋体" w:hint="eastAsia"/>
          <w:sz w:val="32"/>
          <w:szCs w:val="32"/>
          <w:lang w:val="en-US" w:eastAsia="zh-CN"/>
        </w:rPr>
        <w:fldChar w:fldCharType="begin"/>
      </w:r>
      <w:r>
        <w:rPr>
          <w:rFonts w:ascii="仿宋_GB2312" w:cs="仿宋_GB2312" w:eastAsia="仿宋_GB2312" w:hAnsi="宋体" w:hint="eastAsia"/>
          <w:sz w:val="32"/>
          <w:szCs w:val="32"/>
          <w:lang w:val="en-US" w:eastAsia="zh-CN"/>
        </w:rPr>
        <w:instrText xml:space="preserve"> HYPERLINK "http://www.5ykj.com/Article/" \t "https://www.5ykj.com/Article/zjbgszbg/_blank" </w:instrText>
      </w:r>
      <w:r>
        <w:rPr>
          <w:rFonts w:ascii="仿宋_GB2312" w:cs="仿宋_GB2312" w:eastAsia="仿宋_GB2312" w:hAnsi="宋体" w:hint="eastAsia"/>
          <w:sz w:val="32"/>
          <w:szCs w:val="32"/>
          <w:lang w:val="en-US" w:eastAsia="zh-CN"/>
        </w:rPr>
        <w:fldChar w:fldCharType="separate"/>
      </w:r>
      <w:r>
        <w:rPr>
          <w:rFonts w:ascii="仿宋_GB2312" w:cs="仿宋_GB2312" w:eastAsia="仿宋_GB2312" w:hAnsi="宋体" w:hint="eastAsia"/>
          <w:sz w:val="32"/>
          <w:szCs w:val="32"/>
          <w:lang w:val="en-US" w:eastAsia="zh-CN"/>
        </w:rPr>
        <w:t>述职</w:t>
      </w:r>
      <w:r>
        <w:rPr>
          <w:rFonts w:ascii="仿宋_GB2312" w:cs="仿宋_GB2312" w:eastAsia="仿宋_GB2312" w:hAnsi="宋体" w:hint="eastAsia"/>
          <w:sz w:val="32"/>
          <w:szCs w:val="32"/>
          <w:lang w:val="en-US" w:eastAsia="zh-CN"/>
        </w:rPr>
        <w:fldChar w:fldCharType="end"/>
      </w:r>
      <w:r>
        <w:rPr>
          <w:rFonts w:ascii="仿宋_GB2312" w:cs="仿宋_GB2312" w:eastAsia="仿宋_GB2312" w:hAnsi="宋体" w:hint="eastAsia"/>
          <w:sz w:val="32"/>
          <w:szCs w:val="32"/>
          <w:lang w:val="en-US" w:eastAsia="zh-CN"/>
        </w:rPr>
        <w:t>如下：</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560"/>
        <w:ind w:firstLine="640" w:firstLineChars="200"/>
        <w:textAlignment w:val="auto"/>
        <w:rPr>
          <w:rFonts w:ascii="黑体" w:cs="仿宋_GB2312" w:eastAsia="黑体" w:hAnsi="黑体" w:hint="eastAsia"/>
          <w:b w:val="false"/>
          <w:bCs w:val="false"/>
          <w:sz w:val="32"/>
          <w:szCs w:val="32"/>
          <w:lang w:eastAsia="zh-CN"/>
        </w:rPr>
      </w:pPr>
      <w:r>
        <w:rPr>
          <w:rFonts w:ascii="黑体" w:cs="仿宋_GB2312" w:eastAsia="黑体" w:hAnsi="黑体" w:hint="eastAsia"/>
          <w:b w:val="false"/>
          <w:bCs w:val="false"/>
          <w:sz w:val="32"/>
          <w:szCs w:val="32"/>
          <w:lang w:val="en-US" w:eastAsia="zh-CN"/>
        </w:rPr>
        <w:t>一、坚定信念</w:t>
      </w:r>
      <w:r>
        <w:rPr>
          <w:rFonts w:ascii="黑体" w:cs="仿宋_GB2312" w:eastAsia="黑体" w:hAnsi="黑体" w:hint="eastAsia"/>
          <w:b w:val="false"/>
          <w:bCs w:val="false"/>
          <w:sz w:val="32"/>
          <w:szCs w:val="32"/>
          <w:lang w:eastAsia="zh-CN"/>
        </w:rPr>
        <w:t>，不忘初心</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我始终把党的政治建设摆在首位，铸牢理想信念、锤炼坚强党性。深入学习习近平新时代中国特色社会主义思想，贯彻落实党的十九大、十九届四中全会精神，加强政治理论学习，自觉树立“四个意识”，增强“四个自信”，做到“两个维护”，保持理想信念的坚定和执着。知行合一，坚持组织原则，以党章为根本遵循，不断加强自身党性修养。以马克思主义理论和党的教育方针政策</w:t>
      </w:r>
      <w:r>
        <w:rPr>
          <w:rFonts w:ascii="仿宋_GB2312" w:cs="仿宋_GB2312" w:eastAsia="仿宋_GB2312" w:hAnsi="宋体" w:hint="eastAsia"/>
          <w:sz w:val="32"/>
          <w:szCs w:val="32"/>
          <w:lang w:val="en-US" w:eastAsia="zh-CN"/>
        </w:rPr>
        <w:fldChar w:fldCharType="begin"/>
      </w:r>
      <w:r>
        <w:rPr>
          <w:rFonts w:ascii="仿宋_GB2312" w:cs="仿宋_GB2312" w:eastAsia="仿宋_GB2312" w:hAnsi="宋体" w:hint="eastAsia"/>
          <w:sz w:val="32"/>
          <w:szCs w:val="32"/>
          <w:lang w:val="en-US" w:eastAsia="zh-CN"/>
        </w:rPr>
        <w:instrText xml:space="preserve"> HYPERLINK "http://zw.5ykj.com/" \t "https://www.5ykj.com/Article/zjbgszbg/_blank" </w:instrText>
      </w:r>
      <w:r>
        <w:rPr>
          <w:rFonts w:ascii="仿宋_GB2312" w:cs="仿宋_GB2312" w:eastAsia="仿宋_GB2312" w:hAnsi="宋体" w:hint="eastAsia"/>
          <w:sz w:val="32"/>
          <w:szCs w:val="32"/>
          <w:lang w:val="en-US" w:eastAsia="zh-CN"/>
        </w:rPr>
        <w:fldChar w:fldCharType="separate"/>
      </w:r>
      <w:r>
        <w:rPr>
          <w:rFonts w:ascii="仿宋_GB2312" w:cs="仿宋_GB2312" w:eastAsia="仿宋_GB2312" w:hAnsi="宋体" w:hint="eastAsia"/>
          <w:sz w:val="32"/>
          <w:szCs w:val="32"/>
          <w:lang w:val="en-US" w:eastAsia="zh-CN"/>
        </w:rPr>
        <w:t>指导</w:t>
      </w:r>
      <w:r>
        <w:rPr>
          <w:rFonts w:ascii="仿宋_GB2312" w:cs="仿宋_GB2312" w:eastAsia="仿宋_GB2312" w:hAnsi="宋体" w:hint="eastAsia"/>
          <w:sz w:val="32"/>
          <w:szCs w:val="32"/>
          <w:lang w:val="en-US" w:eastAsia="zh-CN"/>
        </w:rPr>
        <w:fldChar w:fldCharType="end"/>
      </w:r>
      <w:r>
        <w:rPr>
          <w:rFonts w:ascii="仿宋_GB2312" w:cs="仿宋_GB2312" w:eastAsia="仿宋_GB2312" w:hAnsi="宋体" w:hint="eastAsia"/>
          <w:sz w:val="32"/>
          <w:szCs w:val="32"/>
          <w:lang w:val="en-US" w:eastAsia="zh-CN"/>
        </w:rPr>
        <w:t>岗位工作实际，把握时代脉搏，遵循高等教育发展规律，发扬脚踏实地、埋头苦干、艰苦奋斗的工作作风。积极参加“不忘初心、牢记使命”主题教育。在主题教育期间，参与基层党支部提质增效路径研究的专题调研工作，提交了学生党支部提质增效路径研究的调研报告。</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560"/>
        <w:ind w:firstLine="640" w:firstLineChars="200"/>
        <w:textAlignment w:val="auto"/>
        <w:rPr>
          <w:rFonts w:ascii="黑体" w:cs="仿宋_GB2312" w:eastAsia="黑体" w:hAnsi="黑体" w:hint="default"/>
          <w:b w:val="false"/>
          <w:bCs w:val="false"/>
          <w:sz w:val="32"/>
          <w:szCs w:val="32"/>
          <w:lang w:val="en-US" w:eastAsia="zh-CN"/>
        </w:rPr>
      </w:pPr>
      <w:r>
        <w:rPr>
          <w:rFonts w:ascii="黑体" w:cs="仿宋_GB2312" w:eastAsia="黑体" w:hAnsi="黑体" w:hint="eastAsia"/>
          <w:b w:val="false"/>
          <w:bCs w:val="false"/>
          <w:sz w:val="32"/>
          <w:szCs w:val="32"/>
          <w:lang w:val="en-US" w:eastAsia="zh-CN"/>
        </w:rPr>
        <w:t>二、以生为本，稳中求进</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楷体" w:cs="楷体" w:eastAsia="楷体" w:hAnsi="楷体" w:hint="eastAsia"/>
          <w:b w:val="false"/>
          <w:bCs w:val="false"/>
          <w:sz w:val="32"/>
          <w:szCs w:val="32"/>
          <w:lang w:val="en-US" w:eastAsia="zh-CN"/>
        </w:rPr>
        <w:t>1.学生管理工作。</w:t>
      </w:r>
      <w:r>
        <w:rPr>
          <w:rFonts w:ascii="仿宋_GB2312" w:cs="仿宋_GB2312" w:eastAsia="仿宋_GB2312" w:hAnsi="宋体" w:hint="eastAsia"/>
          <w:sz w:val="32"/>
          <w:szCs w:val="32"/>
          <w:lang w:val="en-US" w:eastAsia="zh-CN"/>
        </w:rPr>
        <w:t>做好2019年迎新工作，开展新生入学教育、学风建设月活动、宿舍美化大赛等系列工作，完成大学生体能测试，组织大学生安全知识竞赛和校纪校规考试，管理学生早操、晚自习和晚归未归检查，实行每晚10:30学生在校汇报制度，确保管理无死角，做好“助贷补免勤”工作，及时核实，更新贫困生家庭信息档案库，维护好经济困难学生的合法权益。做好学生评奖评优工作。2019春专业奖学金、国家奖学金、国家励志奖学金、三好学生，优秀学生干部，先进班级、学风建设月先进个人，王强班评选。学院有4位同学获得了国家奖学金、63位学生获得国家励志奖学金、316同学获国家助学金、15位学生获伯藜助学金、15位成功建档立卡，获得以减免学费形式的资助、1名位学生获孤儿、残疾补助，4位退伍复学学生减免学费，10位学生勤工助学，104位助学贷款、包斌助学金。认真指导学生用好各类奖助补的资助，学院未接到任何同学的投诉。</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default"/>
          <w:sz w:val="32"/>
          <w:szCs w:val="32"/>
          <w:lang w:val="en-US" w:eastAsia="zh-CN"/>
        </w:rPr>
      </w:pPr>
      <w:r>
        <w:rPr>
          <w:rFonts w:ascii="仿宋_GB2312" w:cs="仿宋_GB2312" w:eastAsia="仿宋_GB2312" w:hAnsi="宋体" w:hint="eastAsia"/>
          <w:sz w:val="32"/>
          <w:szCs w:val="32"/>
          <w:lang w:val="en-US" w:eastAsia="zh-CN"/>
        </w:rPr>
        <w:t>疫情期间，严格落实每日“零报告”制度，每天关注学院1643名学生的身心健康状况。通过组成辅导员、班主任、班干、学干、家长等多信息联系渠道，确保联系上每一位学生，进行拉网式排查疫情状况。学院努力做好有特殊情况比如感冒发烧，未居家观察学生的跟踪核查。对疫情期间仍旧工作的学生给与劝解，对做防疫志愿者的同学给与支持与鼓励，对感冒发烧的同学给与关心，对因疫情造成家庭经济困难的学生给与帮助。学院团总支通过微信公用号平台，推送“众志成城齐心抗疫”主题知识，帮助同学们理性认识疫情，学习防疫知识，正确防范疫情。发起读书打卡，晒学习成果活动引导同学们惜时如金，利用假期多看书多学习。宣传学校关于抗击疫情校园歌曲征集活动和创意海报活动，动员学生积极参加，引导学生关注疫情，舞动笔墨，歌颂英雄，传递爱心。</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3" w:firstLineChars="200"/>
        <w:textAlignment w:val="auto"/>
        <w:rPr>
          <w:rFonts w:ascii="仿宋_GB2312" w:cs="仿宋_GB2312" w:eastAsia="仿宋_GB2312" w:hAnsi="宋体" w:hint="default"/>
          <w:sz w:val="32"/>
          <w:szCs w:val="32"/>
          <w:lang w:val="en-US" w:eastAsia="zh-CN"/>
        </w:rPr>
      </w:pPr>
      <w:r>
        <w:rPr>
          <w:rFonts w:ascii="楷体" w:cs="楷体" w:eastAsia="楷体" w:hAnsi="楷体" w:hint="eastAsia"/>
          <w:b/>
          <w:bCs/>
          <w:sz w:val="32"/>
          <w:szCs w:val="32"/>
          <w:lang w:val="en-US" w:eastAsia="zh-CN"/>
        </w:rPr>
        <w:t>2.团学工作。</w:t>
      </w:r>
      <w:r>
        <w:rPr>
          <w:rFonts w:ascii="仿宋_GB2312" w:cs="仿宋_GB2312" w:eastAsia="仿宋_GB2312" w:hAnsi="宋体" w:hint="eastAsia"/>
          <w:sz w:val="32"/>
          <w:szCs w:val="32"/>
          <w:lang w:val="en-US" w:eastAsia="zh-CN"/>
        </w:rPr>
        <w:t>常态化开展志愿服务工作，组织志愿者们到西苑社区、通榆北村社区、育才社区开展庆祝新中国成立70周年文艺演出活动，在盐城市马拉松比赛、2019环博会等重大活动中都有我院志愿者的身影，学院志愿服务活动受到盐城电视台、盐城晚报、盐阜大众报等多家媒体的报道。组织开展“创新杯”科技文化艺术节活动，承办了校级大学生课外学术科技作品竞赛，在其他校级活动中，积极组织同学参与，取得了一等奖3个、二等奖7个、三等奖9个的好成绩。此外，在“挑战杯”大学生课外学术科技作品竞赛中取得了两个三等奖的好成绩。在校园文化建设方面，依托社团、学生会等团学组织，组织开展了大型送老生、迎新生文艺晚会、大合唱、社团活动月等活动。引导培养青年学生爱党、爱祖国、爱家乡的朴素感情，极大地丰富了学生的课外生活。2020年创青春小挑工作，学院有一个项目入围省赛。</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3" w:firstLineChars="200"/>
        <w:textAlignment w:val="auto"/>
        <w:rPr>
          <w:rFonts w:ascii="仿宋_GB2312" w:cs="仿宋_GB2312" w:eastAsia="仿宋_GB2312" w:hAnsi="宋体" w:hint="eastAsia"/>
          <w:sz w:val="32"/>
          <w:szCs w:val="32"/>
          <w:lang w:val="en-US" w:eastAsia="zh-CN"/>
        </w:rPr>
      </w:pPr>
      <w:r>
        <w:rPr>
          <w:rFonts w:ascii="楷体" w:cs="楷体" w:eastAsia="楷体" w:hAnsi="楷体" w:hint="eastAsia"/>
          <w:b/>
          <w:bCs/>
          <w:sz w:val="32"/>
          <w:szCs w:val="32"/>
          <w:lang w:val="en-US" w:eastAsia="zh-CN"/>
        </w:rPr>
        <w:t>3.招生就业工作。</w:t>
      </w:r>
      <w:r>
        <w:rPr>
          <w:rFonts w:ascii="仿宋_GB2312" w:cs="仿宋_GB2312" w:eastAsia="仿宋_GB2312" w:hAnsi="宋体" w:hint="eastAsia"/>
          <w:sz w:val="32"/>
          <w:szCs w:val="32"/>
          <w:lang w:val="en-US" w:eastAsia="zh-CN"/>
        </w:rPr>
        <w:t>加强生涯规划，就业创业指导及考研服务工作，注重就业指导的全程化、专业化、信息化。鼓励毕业生到边远地区、艰苦行业以及人才短缺的行业就业，调整好毕业生的择业定位，开展个性化的就业指导和服务，缩小就业期望与社会需求之间的距离。2019年就业工作成绩喜人，总就业率超99%，加强就业市场建设，进一步拓展毕业生的就业渠道。坚持“走出去、请进来”的方式拓宽就业市场。一是积极举办就业洽谈会、招聘会和推荐会，为用人单位和毕业生提供良好的双向选择空间。二是保持与用人单位的长期合作，建立长效机制。定期与用人单位沟通，征求需求意见，与他们建立实习、就业一条龙相对稳定的就业基地，让学生从中得到锻炼。与苏州利华科技股份有限公司及盐城天合国能光伏科技有限公司签订毕业生就业基地协议书，新增毕业生高质量就业基地。</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针对2020年相对困难的就业形势，我采取线上线下相结合的工作方式，积极帮助学生拓展就业渠道，引导学生树立正确的就业观、择业观，鼓励考研同学积极争取复试和调剂机会，指导考编考公同学做好面试考察工作，帮助签约同学完善就业平台信息报送工作。学院有87人考取硕士研究生，1人考取江苏省选调生，多人次考取教师编制。</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3" w:firstLineChars="200"/>
        <w:textAlignment w:val="auto"/>
        <w:rPr>
          <w:rFonts w:ascii="仿宋_GB2312" w:cs="仿宋_GB2312" w:eastAsia="仿宋_GB2312" w:hAnsi="宋体" w:hint="eastAsia"/>
          <w:sz w:val="32"/>
          <w:szCs w:val="32"/>
          <w:lang w:val="en-US" w:eastAsia="zh-CN"/>
        </w:rPr>
      </w:pPr>
      <w:r>
        <w:rPr>
          <w:rFonts w:ascii="楷体" w:cs="楷体" w:eastAsia="楷体" w:hAnsi="楷体" w:hint="eastAsia"/>
          <w:b/>
          <w:bCs/>
          <w:sz w:val="32"/>
          <w:szCs w:val="32"/>
          <w:lang w:val="en-US" w:eastAsia="zh-CN"/>
        </w:rPr>
        <w:t>4.其他工作。</w:t>
      </w:r>
      <w:r>
        <w:rPr>
          <w:rFonts w:ascii="仿宋_GB2312" w:cs="仿宋_GB2312" w:eastAsia="仿宋_GB2312" w:hAnsi="宋体" w:hint="eastAsia"/>
          <w:sz w:val="32"/>
          <w:szCs w:val="32"/>
          <w:lang w:val="en-US" w:eastAsia="zh-CN"/>
        </w:rPr>
        <w:t>做好6个班的《思想道德修养与法律基础》的教学工作，参加了校内第二批巡察工作，和巡察组工作人员一起，认真履行巡察职责，做好小教学前专业的评估的联络工作。担任191师范班的班主任工作，做好关工委工作。协助学院总支做好部分党建工作。</w:t>
      </w:r>
    </w:p>
    <w:p>
      <w:pPr>
        <w:pStyle w:val="style0"/>
        <w:keepNext w:val="false"/>
        <w:keepLines w:val="false"/>
        <w:pageBreakBefore w:val="false"/>
        <w:numPr>
          <w:ilvl w:val="0"/>
          <w:numId w:val="1"/>
        </w:numPr>
        <w:kinsoku/>
        <w:wordWrap/>
        <w:overflowPunct/>
        <w:topLinePunct w:val="false"/>
        <w:autoSpaceDE/>
        <w:autoSpaceDN/>
        <w:bidi w:val="false"/>
        <w:adjustRightInd/>
        <w:snapToGrid/>
        <w:spacing w:lineRule="exact" w:line="560"/>
        <w:ind w:firstLine="640" w:firstLineChars="200"/>
        <w:textAlignment w:val="auto"/>
        <w:rPr>
          <w:rFonts w:ascii="黑体" w:cs="黑体" w:eastAsia="黑体" w:hAnsi="黑体" w:hint="eastAsia"/>
          <w:b w:val="false"/>
          <w:bCs w:val="false"/>
          <w:sz w:val="32"/>
          <w:szCs w:val="32"/>
          <w:lang w:val="en-US" w:eastAsia="zh-CN"/>
        </w:rPr>
      </w:pPr>
      <w:r>
        <w:rPr>
          <w:rFonts w:ascii="黑体" w:cs="黑体" w:eastAsia="黑体" w:hAnsi="黑体" w:hint="eastAsia"/>
          <w:b w:val="false"/>
          <w:bCs w:val="false"/>
          <w:sz w:val="32"/>
          <w:szCs w:val="32"/>
          <w:lang w:val="en-US" w:eastAsia="zh-CN"/>
        </w:rPr>
        <w:t>廉洁自侓，遵纪守法</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我认真践行一个共产党员的使命，踏踏实实做人，认认真真做事。坚持做到慎独慎微，心怀惕厉之心，时时提醒自己不可得意忘形。我能认真学习法律法规，自觉遵纪守法，以法律作为处理学生管理各项事务的重要准则。自觉遵守党的组织原则，作为学院纪检委员，能切实用好批评和自我批评的武器，与班子成员坦诚相待，充分沟通，相互监督。严格遵循领导干部个人事项报告制度，不虚报瞒报个人有关事项。管好家属亲人，树立良好家风教风。管好身边工作人员，严禁利用特殊身份谋取非法利益行为。</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带领同事一起认真学习《中国共产党廉洁自律准则》、《中国共产党纪律处分条例》，认真贯彻落实中央八项规定和省委十项规定，积极参加学校的各项廉政教育活动，深入贯彻学校党委党风廉政建设的要求，始终牢记共产党员的身份，努力做好廉洁表率，以身示范，克己律人。协助学院党总支召开专题会议，研究落实党风廉政建设和反腐败工作。积极在师生中宣传廉洁自律的各项规定，协助学院做好师德师风建设，严格落实意识形态责任制，加强分析研判和阵地管理。</w:t>
      </w:r>
    </w:p>
    <w:p>
      <w:pPr>
        <w:pStyle w:val="style0"/>
        <w:keepNext w:val="false"/>
        <w:keepLines w:val="false"/>
        <w:pageBreakBefore w:val="false"/>
        <w:numPr>
          <w:ilvl w:val="0"/>
          <w:numId w:val="0"/>
        </w:numPr>
        <w:kinsoku/>
        <w:wordWrap/>
        <w:overflowPunct/>
        <w:topLinePunct w:val="false"/>
        <w:autoSpaceDE/>
        <w:autoSpaceDN/>
        <w:bidi w:val="false"/>
        <w:adjustRightInd/>
        <w:snapToGrid/>
        <w:spacing w:lineRule="exact" w:line="560"/>
        <w:ind w:firstLine="640" w:firstLineChars="200"/>
        <w:textAlignment w:val="auto"/>
        <w:rPr>
          <w:rFonts w:ascii="黑体" w:cs="仿宋_GB2312" w:eastAsia="黑体" w:hAnsi="黑体" w:hint="eastAsia"/>
          <w:sz w:val="32"/>
          <w:szCs w:val="32"/>
          <w:lang w:eastAsia="zh-CN"/>
        </w:rPr>
      </w:pPr>
      <w:r>
        <w:rPr>
          <w:rFonts w:ascii="黑体" w:cs="仿宋_GB2312" w:eastAsia="黑体" w:hAnsi="黑体" w:hint="eastAsia"/>
          <w:sz w:val="32"/>
          <w:szCs w:val="32"/>
          <w:lang w:val="en-US" w:eastAsia="zh-CN"/>
        </w:rPr>
        <w:t>四</w:t>
      </w:r>
      <w:r>
        <w:rPr>
          <w:rFonts w:ascii="黑体" w:cs="仿宋_GB2312" w:eastAsia="黑体" w:hAnsi="黑体" w:hint="eastAsia"/>
          <w:sz w:val="32"/>
          <w:szCs w:val="32"/>
          <w:lang w:eastAsia="zh-CN"/>
        </w:rPr>
        <w:t>、不足与改进措施</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不足：忙于事务性工作，缺少思考，高质量文章和项目不多，宣传工作还有待进一步加强。</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改进措施：</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1、加强理论知识学习。端正学习态度，增强学习的自觉性和主动性，有计划、有系统地认真学习习近平总书记系列重要讲话精神，学深学透，以指导自己的行动。</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r>
        <w:rPr>
          <w:rFonts w:ascii="仿宋_GB2312" w:cs="仿宋_GB2312" w:eastAsia="仿宋_GB2312" w:hAnsi="宋体" w:hint="eastAsia"/>
          <w:sz w:val="32"/>
          <w:szCs w:val="32"/>
          <w:lang w:val="en-US" w:eastAsia="zh-CN"/>
        </w:rPr>
        <w:t>2、努力提高学生管理工作水平，增强思想政治教育知识储备，多深入学生，深入宿舍，深入课堂，努力在工作中作出快速科学准确的判断，全力服务学生的成长成才。</w:t>
      </w:r>
    </w:p>
    <w:p>
      <w:pPr>
        <w:pStyle w:val="style0"/>
        <w:keepNext w:val="false"/>
        <w:keepLines w:val="false"/>
        <w:pageBreakBefore w:val="false"/>
        <w:kinsoku/>
        <w:wordWrap/>
        <w:overflowPunct/>
        <w:topLinePunct w:val="false"/>
        <w:autoSpaceDE/>
        <w:autoSpaceDN/>
        <w:bidi w:val="false"/>
        <w:adjustRightInd/>
        <w:snapToGrid/>
        <w:spacing w:lineRule="exact" w:line="560"/>
        <w:ind w:firstLine="640" w:firstLineChars="200"/>
        <w:textAlignment w:val="auto"/>
        <w:rPr>
          <w:rFonts w:ascii="仿宋_GB2312" w:cs="仿宋_GB2312" w:eastAsia="仿宋_GB2312" w:hAnsi="宋体" w:hint="eastAsia"/>
          <w:sz w:val="32"/>
          <w:szCs w:val="32"/>
          <w:lang w:val="en-US" w:eastAsia="zh-CN"/>
        </w:rPr>
      </w:pPr>
    </w:p>
    <w:p>
      <w:pPr>
        <w:pStyle w:val="style0"/>
        <w:keepNext w:val="false"/>
        <w:keepLines w:val="false"/>
        <w:pageBreakBefore w:val="false"/>
        <w:kinsoku/>
        <w:wordWrap/>
        <w:overflowPunct/>
        <w:topLinePunct w:val="false"/>
        <w:autoSpaceDE/>
        <w:autoSpaceDN/>
        <w:bidi w:val="false"/>
        <w:adjustRightInd/>
        <w:snapToGrid/>
        <w:spacing w:lineRule="exact" w:line="560"/>
        <w:ind w:firstLine="560" w:firstLineChars="200"/>
        <w:textAlignment w:val="auto"/>
        <w:rPr>
          <w:rFonts w:ascii="仿宋_GB2312" w:cs="仿宋_GB2312" w:eastAsia="仿宋_GB2312" w:hAnsi="宋体" w:hint="eastAsia"/>
          <w:sz w:val="28"/>
          <w:szCs w:val="28"/>
          <w:lang w:val="en-US" w:eastAsia="zh-CN"/>
        </w:rPr>
      </w:pPr>
    </w:p>
    <w:sectPr>
      <w:headerReference w:type="default" r:id="rId2"/>
      <w:footerReference w:type="default" r:id="rId3"/>
      <w:pgSz w:w="11906" w:h="16838" w:orient="portrait"/>
      <w:pgMar w:top="1701"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7a"/>
    <w:family w:val="auto"/>
    <w:pitch w:val="default"/>
    <w:sig w:usb0="E0002EFF" w:usb1="C000785B" w:usb2="00000009" w:usb3="00000000" w:csb0="400001FF" w:csb1="FFFF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2AFF" w:usb1="C000247B" w:usb2="00000009" w:usb3="00000000" w:csb0="200001FF" w:csb1="00000000"/>
  </w:font>
  <w:font w:name="方正小标宋简体">
    <w:altName w:val="黑体"/>
    <w:panose1 w:val="02010601030001010101"/>
    <w:charset w:val="86"/>
    <w:family w:val="auto"/>
    <w:pitch w:val="default"/>
    <w:sig w:usb0="00000000" w:usb1="00000000" w:usb2="00000010" w:usb3="00000000" w:csb0="00040000" w:csb1="00000000"/>
  </w:font>
  <w:font w:name="楷体">
    <w:altName w:val="楷体"/>
    <w:panose1 w:val="020106090600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仿宋">
    <w:altName w:val="仿宋"/>
    <w:panose1 w:val="02010609060001010101"/>
    <w:charset w:val="86"/>
    <w:family w:val="auto"/>
    <w:pitch w:val="default"/>
    <w:sig w:usb0="800002BF" w:usb1="38CF7CFA" w:usb2="00000016" w:usb3="00000000" w:csb0="00040001" w:csb1="00000000"/>
  </w:font>
  <w:font w:name="Calibri Light">
    <w:altName w:val="Calibri Light"/>
    <w:panose1 w:val="020f0302020002030204"/>
    <w:charset w:val="00"/>
    <w:family w:val="auto"/>
    <w:pitch w:val="default"/>
    <w:sig w:usb0="E0002AFF" w:usb1="C000247B" w:usb2="00000009" w:usb3="00000000" w:csb0="200001FF" w:csb1="00000000"/>
  </w:font>
  <w:font w:name="方正萤雪简体">
    <w:altName w:val="方正萤雪简体"/>
    <w:panose1 w:val="02000000000000000000"/>
    <w:charset w:val="86"/>
    <w:family w:val="auto"/>
    <w:pitch w:val="default"/>
    <w:sig w:usb0="A00002BF" w:usb1="184F6CFA" w:usb2="00000012" w:usb3="00000000" w:csb0="00040001" w:csb1="00000000"/>
  </w:font>
  <w:font w:name="华文新魏">
    <w:altName w:val="华文新魏"/>
    <w:panose1 w:val="02010800040001010101"/>
    <w:charset w:val="86"/>
    <w:family w:val="auto"/>
    <w:pitch w:val="default"/>
    <w:sig w:usb0="00000001" w:usb1="080F0000" w:usb2="00000000" w:usb3="00000000" w:csb0="00040000" w:csb1="00000000"/>
  </w:font>
  <w:font w:name="华文彩云">
    <w:altName w:val="华文彩云"/>
    <w:panose1 w:val="02010800040001010101"/>
    <w:charset w:val="86"/>
    <w:family w:val="auto"/>
    <w:pitch w:val="default"/>
    <w:sig w:usb0="00000001" w:usb1="080F0000" w:usb2="00000000" w:usb3="00000000" w:csb0="00040000" w:csb1="00000000"/>
  </w:font>
  <w:font w:name="微软雅黑">
    <w:altName w:val="微软雅黑"/>
    <w:panose1 w:val="020b0503020002020204"/>
    <w:charset w:val="86"/>
    <w:family w:val="auto"/>
    <w:pitch w:val="default"/>
    <w:sig w:usb0="80000287" w:usb1="2ACF3C50" w:usb2="00000016" w:usb3="00000000" w:csb0="0004001F" w:csb1="00000000"/>
  </w:font>
  <w:font w:name="Candara">
    <w:altName w:val="Candara"/>
    <w:panose1 w:val="020e0502030003020204"/>
    <w:charset w:val="00"/>
    <w:family w:val="auto"/>
    <w:pitch w:val="default"/>
    <w:sig w:usb0="A00002EF" w:usb1="4000A44B" w:usb2="00000000" w:usb3="00000000" w:csb0="2000019F" w:csb1="00000000"/>
  </w:font>
  <w:font w:name="Copperplate Gothic Light">
    <w:altName w:val="Copperplate Gothic Light"/>
    <w:panose1 w:val="020e0507020002020404"/>
    <w:charset w:val="00"/>
    <w:family w:val="auto"/>
    <w:pitch w:val="default"/>
    <w:sig w:usb0="00000003" w:usb1="00000000" w:usb2="00000000" w:usb3="00000000" w:csb0="20000001" w:csb1="00000000"/>
  </w:font>
  <w:font w:name="MS Reference Sans Serif">
    <w:altName w:val="MS Reference Sans Serif"/>
    <w:panose1 w:val="020b0604030005040204"/>
    <w:charset w:val="00"/>
    <w:family w:val="auto"/>
    <w:pitch w:val="default"/>
    <w:sig w:usb0="00000287" w:usb1="00000000" w:usb2="00000000" w:usb3="00000000" w:csb0="2000019F" w:csb1="00000000"/>
  </w:font>
  <w:font w:name="Parchment">
    <w:altName w:val="Parchment"/>
    <w:panose1 w:val="03040602040007040804"/>
    <w:charset w:val="00"/>
    <w:family w:val="auto"/>
    <w:pitch w:val="default"/>
    <w:sig w:usb0="00000003" w:usb1="00000000" w:usb2="00000000" w:usb3="00000000" w:csb0="20000001" w:csb1="00000000"/>
  </w:font>
  <w:font w:name="Poor Richard">
    <w:altName w:val="Poor Richard"/>
    <w:panose1 w:val="02080502050005020702"/>
    <w:charset w:val="00"/>
    <w:family w:val="auto"/>
    <w:pitch w:val="default"/>
    <w:sig w:usb0="00000003" w:usb1="00000000" w:usb2="00000000" w:usb3="00000000" w:csb0="20000001" w:csb1="00000000"/>
  </w:font>
  <w:font w:name="Segoe UI Historic">
    <w:altName w:val="Segoe UI Historic"/>
    <w:panose1 w:val="020b0502040002020203"/>
    <w:charset w:val="00"/>
    <w:family w:val="auto"/>
    <w:pitch w:val="default"/>
    <w:sig w:usb0="800001EF" w:usb1="02000002" w:usb2="0060C080" w:usb3="00000002" w:csb0="00000001" w:csb1="4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pPr>
                      <w:pStyle w:val="style32"/>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rP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28BD232"/>
    <w:lvl w:ilvl="0">
      <w:start w:val="3"/>
      <w:numFmt w:val="chineseCounting"/>
      <w:suff w:val="nothing"/>
      <w:lvlText w:val="%1、"/>
      <w:lvlJc w:val="left"/>
      <w:pPr/>
      <w:rPr>
        <w:rFonts w:hint="eastAsia"/>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uiPriority w:val="0"/>
    <w:pPr/>
    <w:rPr/>
    <w:tblPr>
      <w:tblCellMar>
        <w:top w:w="0" w:type="dxa"/>
        <w:left w:w="108" w:type="dxa"/>
        <w:bottom w:w="0" w:type="dxa"/>
        <w:right w:w="108" w:type="dxa"/>
      </w:tblCellMar>
    </w:tblPr>
    <w:tcPr>
      <w:tcBorders/>
    </w:tcPr>
  </w:style>
  <w:style w:type="paragraph" w:styleId="style32">
    <w:name w:val="footer"/>
    <w:basedOn w:val="style0"/>
    <w:next w:val="style32"/>
    <w:uiPriority w:val="0"/>
    <w:pPr>
      <w:tabs>
        <w:tab w:val="center" w:leader="none" w:pos="4153"/>
        <w:tab w:val="right" w:leader="none" w:pos="8306"/>
      </w:tabs>
      <w:snapToGrid w:val="false"/>
      <w:jc w:val="left"/>
    </w:pPr>
    <w:rPr>
      <w:sz w:val="18"/>
    </w:rPr>
  </w:style>
  <w:style w:type="paragraph" w:styleId="style31">
    <w:name w:val="header"/>
    <w:basedOn w:val="style0"/>
    <w:next w:val="style31"/>
    <w:uiPriority w:val="0"/>
    <w:pPr>
      <w:pBdr>
        <w:left w:val="none" w:sz="0" w:space="4" w:color="auto"/>
        <w:right w:val="none" w:sz="0" w:space="4" w:color="auto"/>
        <w:top w:val="none" w:sz="0" w:space="1" w:color="auto"/>
        <w:bottom w:val="none" w:sz="0" w:space="1" w:color="auto"/>
      </w:pBdr>
      <w:tabs>
        <w:tab w:val="center" w:leader="none" w:pos="4153"/>
        <w:tab w:val="right" w:leader="none" w:pos="8306"/>
      </w:tabs>
      <w:snapToGrid w:val="false"/>
      <w:spacing w:lineRule="auto" w:line="240"/>
      <w:jc w:val="both"/>
      <w:outlineLvl w:val="9"/>
    </w:pPr>
    <w:rPr>
      <w:sz w:val="18"/>
    </w:rPr>
  </w:style>
  <w:style w:type="character" w:styleId="style85">
    <w:name w:val="Hyperlink"/>
    <w:basedOn w:val="style65"/>
    <w:next w:val="style85"/>
    <w:uiPriority w:val="0"/>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Words>2839</Words>
  <Pages>1</Pages>
  <Characters>2885</Characters>
  <Application>WPS Office</Application>
  <DocSecurity>0</DocSecurity>
  <Paragraphs>29</Paragraphs>
  <ScaleCrop>false</ScaleCrop>
  <LinksUpToDate>false</LinksUpToDate>
  <CharactersWithSpaces>2886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2020-07-04T13:21:00Z</dcterms:created>
  <dc:creator>李霞</dc:creator>
  <lastModifiedBy>MI 8</lastModifiedBy>
  <dcterms:modified xsi:type="dcterms:W3CDTF">2020-07-05T02:49:37Z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